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4C7FE841" w:rsidR="00E90E49" w:rsidRPr="001B2C46" w:rsidRDefault="00E90E49" w:rsidP="00E35559">
      <w:pPr>
        <w:pStyle w:val="3GPPHeader"/>
        <w:spacing w:after="60"/>
        <w:rPr>
          <w:sz w:val="32"/>
          <w:szCs w:val="32"/>
        </w:rPr>
      </w:pPr>
      <w:bookmarkStart w:id="0" w:name="_GoBack"/>
      <w:bookmarkEnd w:id="0"/>
      <w:r w:rsidRPr="001B2C46">
        <w:t>3GPP TSG-RAN WG</w:t>
      </w:r>
      <w:r w:rsidR="008F1C4E" w:rsidRPr="001B2C46">
        <w:t>1</w:t>
      </w:r>
      <w:r w:rsidRPr="001B2C46">
        <w:t xml:space="preserve"> </w:t>
      </w:r>
      <w:r w:rsidR="008F1C4E" w:rsidRPr="001B2C46">
        <w:t xml:space="preserve">Meeting </w:t>
      </w:r>
      <w:r w:rsidRPr="001B2C46">
        <w:t>#</w:t>
      </w:r>
      <w:r w:rsidR="00044F46" w:rsidRPr="001B2C46">
        <w:t>9</w:t>
      </w:r>
      <w:r w:rsidR="00C34971">
        <w:t>7</w:t>
      </w:r>
      <w:r w:rsidRPr="001B2C46">
        <w:tab/>
      </w:r>
      <w:proofErr w:type="spellStart"/>
      <w:r w:rsidRPr="001B2C46">
        <w:rPr>
          <w:sz w:val="32"/>
          <w:szCs w:val="32"/>
        </w:rPr>
        <w:t>Tdoc</w:t>
      </w:r>
      <w:proofErr w:type="spellEnd"/>
      <w:r w:rsidRPr="001B2C46">
        <w:rPr>
          <w:sz w:val="32"/>
          <w:szCs w:val="32"/>
        </w:rPr>
        <w:t xml:space="preserve"> </w:t>
      </w:r>
      <w:r w:rsidR="00091557" w:rsidRPr="001B2C46">
        <w:rPr>
          <w:sz w:val="32"/>
          <w:szCs w:val="32"/>
        </w:rPr>
        <w:t>R</w:t>
      </w:r>
      <w:r w:rsidR="008F1C4E" w:rsidRPr="001B2C46">
        <w:rPr>
          <w:sz w:val="32"/>
          <w:szCs w:val="32"/>
        </w:rPr>
        <w:t>1</w:t>
      </w:r>
      <w:r w:rsidR="00091557" w:rsidRPr="001B2C46">
        <w:rPr>
          <w:sz w:val="32"/>
          <w:szCs w:val="32"/>
        </w:rPr>
        <w:t>-</w:t>
      </w:r>
      <w:r w:rsidR="005F3025" w:rsidRPr="001B2C46">
        <w:rPr>
          <w:sz w:val="32"/>
          <w:szCs w:val="32"/>
        </w:rPr>
        <w:t>1</w:t>
      </w:r>
      <w:r w:rsidR="00044F46" w:rsidRPr="001B2C46">
        <w:rPr>
          <w:sz w:val="32"/>
          <w:szCs w:val="32"/>
        </w:rPr>
        <w:t>9</w:t>
      </w:r>
      <w:r w:rsidR="00BA4193" w:rsidRPr="001B2C46">
        <w:rPr>
          <w:sz w:val="32"/>
          <w:szCs w:val="32"/>
        </w:rPr>
        <w:t>0</w:t>
      </w:r>
      <w:r w:rsidR="001B2C46" w:rsidRPr="001B2C46">
        <w:rPr>
          <w:sz w:val="32"/>
          <w:szCs w:val="32"/>
        </w:rPr>
        <w:t>6</w:t>
      </w:r>
      <w:r w:rsidR="00DB5E99">
        <w:rPr>
          <w:sz w:val="32"/>
          <w:szCs w:val="32"/>
        </w:rPr>
        <w:t>104</w:t>
      </w:r>
    </w:p>
    <w:p w14:paraId="1465D715" w14:textId="28D01AEB" w:rsidR="00C34971" w:rsidRPr="00C34971" w:rsidRDefault="00C34971" w:rsidP="00C34971">
      <w:pPr>
        <w:pStyle w:val="3GPPHeader"/>
      </w:pPr>
      <w:r w:rsidRPr="00C34971">
        <w:t xml:space="preserve">Reno, </w:t>
      </w:r>
      <w:r w:rsidR="004619BB">
        <w:t xml:space="preserve">Nevada, </w:t>
      </w:r>
      <w:r w:rsidRPr="00C34971">
        <w:t>US, May 13</w:t>
      </w:r>
      <w:r w:rsidRPr="00C34971">
        <w:rPr>
          <w:vertAlign w:val="superscript"/>
        </w:rPr>
        <w:t>th</w:t>
      </w:r>
      <w:r w:rsidRPr="00C34971">
        <w:t xml:space="preserve"> – 17</w:t>
      </w:r>
      <w:r w:rsidRPr="00C34971">
        <w:rPr>
          <w:vertAlign w:val="superscript"/>
        </w:rPr>
        <w:t>th</w:t>
      </w:r>
      <w:r w:rsidRPr="00C34971">
        <w:t xml:space="preserve">, 2019 </w:t>
      </w:r>
    </w:p>
    <w:p w14:paraId="1503BF16" w14:textId="77777777" w:rsidR="00E90E49" w:rsidRPr="001B2C46" w:rsidRDefault="00E90E49" w:rsidP="00357380">
      <w:pPr>
        <w:pStyle w:val="3GPPHeader"/>
      </w:pPr>
    </w:p>
    <w:p w14:paraId="4BC66F81" w14:textId="63BFD352" w:rsidR="00E90E49" w:rsidRPr="00991CB5" w:rsidRDefault="00E90E49" w:rsidP="00311702">
      <w:pPr>
        <w:pStyle w:val="3GPPHeader"/>
        <w:rPr>
          <w:sz w:val="22"/>
        </w:rPr>
      </w:pPr>
      <w:r w:rsidRPr="00991CB5">
        <w:rPr>
          <w:sz w:val="22"/>
        </w:rPr>
        <w:t>Agenda Item:</w:t>
      </w:r>
      <w:r w:rsidRPr="00991CB5">
        <w:rPr>
          <w:sz w:val="22"/>
        </w:rPr>
        <w:tab/>
      </w:r>
      <w:r w:rsidR="00BA4193" w:rsidRPr="00991CB5">
        <w:rPr>
          <w:sz w:val="22"/>
        </w:rPr>
        <w:t>7.2.6.</w:t>
      </w:r>
      <w:r w:rsidR="00DB5E99">
        <w:rPr>
          <w:sz w:val="22"/>
        </w:rPr>
        <w:t>7</w:t>
      </w:r>
    </w:p>
    <w:p w14:paraId="16B090C4" w14:textId="77777777" w:rsidR="00E90E49" w:rsidRPr="001B2C46" w:rsidRDefault="003D3C45" w:rsidP="00F64C2B">
      <w:pPr>
        <w:pStyle w:val="3GPPHeader"/>
        <w:rPr>
          <w:sz w:val="22"/>
        </w:rPr>
      </w:pPr>
      <w:r w:rsidRPr="001B2C46">
        <w:rPr>
          <w:sz w:val="22"/>
        </w:rPr>
        <w:t>Source:</w:t>
      </w:r>
      <w:r w:rsidR="00E90E49" w:rsidRPr="001B2C46">
        <w:rPr>
          <w:sz w:val="22"/>
        </w:rPr>
        <w:tab/>
      </w:r>
      <w:r w:rsidR="00F64C2B" w:rsidRPr="001B2C46">
        <w:rPr>
          <w:sz w:val="22"/>
        </w:rPr>
        <w:t>Ericsson</w:t>
      </w:r>
    </w:p>
    <w:p w14:paraId="0EAE6E12" w14:textId="68A6BE5A" w:rsidR="00E90E49" w:rsidRPr="00A21B3C" w:rsidRDefault="003D3C45" w:rsidP="004B415D">
      <w:pPr>
        <w:pStyle w:val="3GPPHeader"/>
        <w:ind w:left="1695" w:hanging="1695"/>
        <w:rPr>
          <w:sz w:val="22"/>
        </w:rPr>
      </w:pPr>
      <w:r w:rsidRPr="001B2C46">
        <w:rPr>
          <w:sz w:val="22"/>
        </w:rPr>
        <w:t>Title:</w:t>
      </w:r>
      <w:r w:rsidR="00E90E49" w:rsidRPr="001B2C46">
        <w:rPr>
          <w:sz w:val="22"/>
        </w:rPr>
        <w:tab/>
      </w:r>
      <w:r w:rsidR="00A21B3C" w:rsidRPr="00A21B3C">
        <w:rPr>
          <w:sz w:val="22"/>
        </w:rPr>
        <w:t>Improving PDCCH Monitoring Capability on a Monitoring Span</w:t>
      </w:r>
    </w:p>
    <w:p w14:paraId="1B3B5CE0" w14:textId="4690B14F" w:rsidR="00E90E49" w:rsidRPr="001B2C46" w:rsidRDefault="00E90E49" w:rsidP="00044F46">
      <w:pPr>
        <w:pStyle w:val="3GPPHeader"/>
        <w:rPr>
          <w:sz w:val="22"/>
        </w:rPr>
      </w:pPr>
      <w:r w:rsidRPr="001B2C46">
        <w:rPr>
          <w:sz w:val="22"/>
        </w:rPr>
        <w:t>Document for:</w:t>
      </w:r>
      <w:r w:rsidRPr="001B2C46">
        <w:rPr>
          <w:sz w:val="22"/>
        </w:rPr>
        <w:tab/>
        <w:t>Discussion, Decision</w:t>
      </w:r>
    </w:p>
    <w:p w14:paraId="4F66B7D2" w14:textId="77777777" w:rsidR="00E90E49" w:rsidRPr="00CE0424" w:rsidRDefault="00230D18" w:rsidP="00CE0424">
      <w:pPr>
        <w:pStyle w:val="Heading1"/>
      </w:pPr>
      <w:r>
        <w:t>1</w:t>
      </w:r>
      <w:r>
        <w:tab/>
      </w:r>
      <w:r w:rsidR="00E90E49" w:rsidRPr="00CE0424">
        <w:t>Introduction</w:t>
      </w:r>
    </w:p>
    <w:p w14:paraId="67DBE6D1" w14:textId="7C9FAD3C" w:rsidR="00D41C77" w:rsidRPr="005B66AE" w:rsidRDefault="00971C02" w:rsidP="00D41C77">
      <w:pPr>
        <w:pStyle w:val="BodyText"/>
        <w:rPr>
          <w:rFonts w:cs="Arial"/>
        </w:rPr>
      </w:pPr>
      <w:r>
        <w:rPr>
          <w:rFonts w:cs="Arial"/>
        </w:rPr>
        <w:t>I</w:t>
      </w:r>
      <w:r w:rsidR="00D41C77" w:rsidRPr="007D11A1">
        <w:rPr>
          <w:rFonts w:cs="Arial"/>
        </w:rPr>
        <w:t>n this contribution, we provide</w:t>
      </w:r>
      <w:r w:rsidR="00440E80">
        <w:rPr>
          <w:rFonts w:cs="Arial"/>
        </w:rPr>
        <w:t xml:space="preserve"> further</w:t>
      </w:r>
      <w:r w:rsidR="00D41C77" w:rsidRPr="007D11A1">
        <w:rPr>
          <w:rFonts w:cs="Arial"/>
        </w:rPr>
        <w:t xml:space="preserve"> views on </w:t>
      </w:r>
      <w:r w:rsidR="00440E80">
        <w:rPr>
          <w:rFonts w:cs="Arial"/>
        </w:rPr>
        <w:t xml:space="preserve">possible </w:t>
      </w:r>
      <w:r w:rsidR="00040F10">
        <w:rPr>
          <w:rFonts w:cs="Arial"/>
        </w:rPr>
        <w:t>restriction</w:t>
      </w:r>
      <w:r w:rsidR="00440E80">
        <w:rPr>
          <w:rFonts w:cs="Arial"/>
        </w:rPr>
        <w:t xml:space="preserve"> to the potentially increased</w:t>
      </w:r>
      <w:r w:rsidR="00D41C77" w:rsidRPr="007D11A1">
        <w:rPr>
          <w:rFonts w:cs="Arial"/>
        </w:rPr>
        <w:t xml:space="preserve"> PDCCH monitoring capability in terms of </w:t>
      </w:r>
      <w:r w:rsidR="00440E80">
        <w:rPr>
          <w:rFonts w:cs="Arial"/>
        </w:rPr>
        <w:t>limits per monitoring span</w:t>
      </w:r>
      <w:r w:rsidR="00D41C77" w:rsidRPr="007D11A1">
        <w:rPr>
          <w:rFonts w:cs="Arial"/>
        </w:rPr>
        <w:t xml:space="preserve"> </w:t>
      </w:r>
      <w:r w:rsidR="00440E80">
        <w:rPr>
          <w:rFonts w:cs="Arial"/>
        </w:rPr>
        <w:t>for the maximum numbers of</w:t>
      </w:r>
      <w:r w:rsidR="00D41C77" w:rsidRPr="007D11A1">
        <w:rPr>
          <w:rFonts w:cs="Arial"/>
        </w:rPr>
        <w:t xml:space="preserve"> blind decodes and non-overlapping CCEs for channel estimation. </w:t>
      </w:r>
    </w:p>
    <w:p w14:paraId="4240D1DF" w14:textId="34561A29" w:rsidR="004000E8" w:rsidRDefault="00230D18" w:rsidP="00CE0424">
      <w:pPr>
        <w:pStyle w:val="Heading1"/>
      </w:pPr>
      <w:bookmarkStart w:id="1" w:name="_Ref178064866"/>
      <w:r>
        <w:t>2</w:t>
      </w:r>
      <w:r>
        <w:tab/>
      </w:r>
      <w:r w:rsidR="004000E8" w:rsidRPr="00CE0424">
        <w:t>Discussion</w:t>
      </w:r>
      <w:bookmarkEnd w:id="1"/>
    </w:p>
    <w:p w14:paraId="3FEFF0DF" w14:textId="404A21E9" w:rsidR="00DC6888" w:rsidRPr="007D11A1" w:rsidRDefault="00DC6888" w:rsidP="00DC6888">
      <w:pPr>
        <w:pStyle w:val="BodyText"/>
        <w:rPr>
          <w:rFonts w:cs="Arial"/>
        </w:rPr>
      </w:pPr>
      <w:r w:rsidRPr="007D11A1">
        <w:rPr>
          <w:rFonts w:cs="Arial"/>
        </w:rPr>
        <w:t xml:space="preserve">In RAN1 #96 </w:t>
      </w:r>
      <w:r w:rsidRPr="00D2662A">
        <w:rPr>
          <w:rFonts w:cs="Arial"/>
        </w:rPr>
        <w:t>[</w:t>
      </w:r>
      <w:r w:rsidR="00B22226">
        <w:rPr>
          <w:rFonts w:cs="Arial"/>
        </w:rPr>
        <w:t>1</w:t>
      </w:r>
      <w:r w:rsidRPr="00D2662A">
        <w:rPr>
          <w:rFonts w:cs="Arial"/>
        </w:rPr>
        <w:t>]</w:t>
      </w:r>
      <w:r>
        <w:rPr>
          <w:rFonts w:cs="Arial"/>
        </w:rPr>
        <w:t xml:space="preserve"> at the end of </w:t>
      </w:r>
      <w:proofErr w:type="spellStart"/>
      <w:r>
        <w:rPr>
          <w:rFonts w:cs="Arial"/>
        </w:rPr>
        <w:t>eURLLC</w:t>
      </w:r>
      <w:proofErr w:type="spellEnd"/>
      <w:r>
        <w:rPr>
          <w:rFonts w:cs="Arial"/>
        </w:rPr>
        <w:t xml:space="preserve"> SI</w:t>
      </w:r>
      <w:r w:rsidRPr="00D2662A">
        <w:rPr>
          <w:rFonts w:cs="Arial"/>
        </w:rPr>
        <w:t>,</w:t>
      </w:r>
      <w:r w:rsidRPr="007D11A1">
        <w:rPr>
          <w:rFonts w:cs="Arial"/>
        </w:rPr>
        <w:t xml:space="preserve"> the following agreements on PDCCH </w:t>
      </w:r>
      <w:r w:rsidR="009645D5">
        <w:rPr>
          <w:rFonts w:cs="Arial"/>
        </w:rPr>
        <w:t xml:space="preserve">enhancement </w:t>
      </w:r>
      <w:r w:rsidRPr="007D11A1">
        <w:rPr>
          <w:rFonts w:cs="Arial"/>
        </w:rPr>
        <w:t>were made.</w:t>
      </w:r>
    </w:p>
    <w:p w14:paraId="72F878E5" w14:textId="77777777" w:rsidR="00DC6888" w:rsidRPr="007D11A1" w:rsidRDefault="00DC6888" w:rsidP="00DC6888">
      <w:pPr>
        <w:rPr>
          <w:lang w:eastAsia="x-none"/>
        </w:rPr>
      </w:pPr>
      <w:r w:rsidRPr="007D11A1">
        <w:rPr>
          <w:highlight w:val="green"/>
          <w:lang w:eastAsia="x-none"/>
        </w:rPr>
        <w:t>Agreements</w:t>
      </w:r>
      <w:r w:rsidRPr="007D11A1">
        <w:rPr>
          <w:lang w:eastAsia="x-none"/>
        </w:rPr>
        <w:t>:</w:t>
      </w:r>
    </w:p>
    <w:p w14:paraId="4142D9E2" w14:textId="77777777" w:rsidR="00DC6888" w:rsidRPr="007D11A1" w:rsidRDefault="00DC6888" w:rsidP="00DC6888">
      <w:r w:rsidRPr="007D11A1">
        <w:rPr>
          <w:rFonts w:hint="eastAsia"/>
        </w:rPr>
        <w:t>S</w:t>
      </w:r>
      <w:r w:rsidRPr="007D11A1">
        <w:t>upport increased PDCCH monitoring capability on at least the maximum number of non-overlapped CCEs per slot for channel estimation for Rel-16 NR URLLC for at least one SCS subject to the following restrictions:</w:t>
      </w:r>
    </w:p>
    <w:p w14:paraId="3CAD9422" w14:textId="77777777" w:rsidR="00DC6888" w:rsidRPr="007D11A1" w:rsidRDefault="00DC6888" w:rsidP="00DC6888">
      <w:pPr>
        <w:pStyle w:val="ListParagraph"/>
        <w:numPr>
          <w:ilvl w:val="0"/>
          <w:numId w:val="24"/>
        </w:numPr>
        <w:snapToGrid w:val="0"/>
        <w:spacing w:after="120"/>
        <w:contextualSpacing/>
        <w:jc w:val="both"/>
        <w:rPr>
          <w:sz w:val="20"/>
          <w:szCs w:val="20"/>
        </w:rPr>
      </w:pPr>
      <w:r w:rsidRPr="007D11A1">
        <w:rPr>
          <w:sz w:val="20"/>
          <w:szCs w:val="20"/>
        </w:rPr>
        <w:t>Explicit limitation on the maximum number of BDs/non-overlapping CCEs per monitoring occasion and/or per monitoring span, and</w:t>
      </w:r>
    </w:p>
    <w:p w14:paraId="6A18BECE" w14:textId="77777777" w:rsidR="00DC6888" w:rsidRPr="007D11A1" w:rsidRDefault="00DC6888" w:rsidP="00DC6888">
      <w:pPr>
        <w:pStyle w:val="ListParagraph"/>
        <w:numPr>
          <w:ilvl w:val="0"/>
          <w:numId w:val="24"/>
        </w:numPr>
        <w:snapToGrid w:val="0"/>
        <w:spacing w:after="120"/>
        <w:contextualSpacing/>
        <w:jc w:val="both"/>
        <w:rPr>
          <w:sz w:val="20"/>
          <w:szCs w:val="20"/>
        </w:rPr>
      </w:pPr>
      <w:r w:rsidRPr="007D11A1">
        <w:rPr>
          <w:sz w:val="20"/>
          <w:szCs w:val="20"/>
        </w:rPr>
        <w:t>The set of applicable SCS(s) to be finalized during the WI phase</w:t>
      </w:r>
    </w:p>
    <w:p w14:paraId="525CD899" w14:textId="77777777" w:rsidR="00DC6888" w:rsidRPr="007D11A1" w:rsidRDefault="00DC6888" w:rsidP="00DC6888">
      <w:pPr>
        <w:pStyle w:val="ListParagraph"/>
        <w:numPr>
          <w:ilvl w:val="0"/>
          <w:numId w:val="24"/>
        </w:numPr>
        <w:snapToGrid w:val="0"/>
        <w:spacing w:after="120"/>
        <w:contextualSpacing/>
        <w:jc w:val="both"/>
        <w:rPr>
          <w:sz w:val="20"/>
          <w:szCs w:val="20"/>
        </w:rPr>
      </w:pPr>
      <w:r w:rsidRPr="007D11A1">
        <w:rPr>
          <w:sz w:val="20"/>
          <w:szCs w:val="20"/>
        </w:rPr>
        <w:t xml:space="preserve">Additional restrictions (e.g., impact # of CCs if any, potential limitations on PDSCH/PUSCH processing, impact of wideband RS for CCE counting if any, etc.) can be considered during the WI phase </w:t>
      </w:r>
    </w:p>
    <w:p w14:paraId="4EEE57C6" w14:textId="77777777" w:rsidR="00DC6888" w:rsidRPr="007D11A1" w:rsidRDefault="00DC6888" w:rsidP="00DC6888">
      <w:pPr>
        <w:rPr>
          <w:lang w:eastAsia="x-none"/>
        </w:rPr>
      </w:pPr>
      <w:r w:rsidRPr="007D11A1">
        <w:rPr>
          <w:highlight w:val="green"/>
          <w:lang w:eastAsia="x-none"/>
        </w:rPr>
        <w:t>Agreements</w:t>
      </w:r>
      <w:r w:rsidRPr="007D11A1">
        <w:rPr>
          <w:lang w:eastAsia="x-none"/>
        </w:rPr>
        <w:t>:</w:t>
      </w:r>
    </w:p>
    <w:p w14:paraId="28AA19E1" w14:textId="77777777" w:rsidR="00DC6888" w:rsidRDefault="00DC6888" w:rsidP="00DC6888">
      <w:pPr>
        <w:numPr>
          <w:ilvl w:val="0"/>
          <w:numId w:val="25"/>
        </w:numPr>
        <w:spacing w:after="0"/>
        <w:rPr>
          <w:kern w:val="2"/>
        </w:rPr>
      </w:pPr>
      <w:r w:rsidRPr="007D11A1">
        <w:t xml:space="preserve">Enhancements for PDCCH monitoring </w:t>
      </w:r>
      <w:r w:rsidRPr="007D11A1">
        <w:rPr>
          <w:kern w:val="2"/>
        </w:rPr>
        <w:t>capability on the maximum number of monitored PDCCH candidates per slot (with potential restrictions) for Rel-16 NR URLLC can be further considered in work item phase.</w:t>
      </w:r>
    </w:p>
    <w:p w14:paraId="11F35AD2" w14:textId="3E01DBA1" w:rsidR="00DC6888" w:rsidRDefault="00DC6888" w:rsidP="00D41C77">
      <w:pPr>
        <w:rPr>
          <w:rFonts w:ascii="Arial" w:hAnsi="Arial" w:cs="Arial"/>
        </w:rPr>
      </w:pPr>
    </w:p>
    <w:p w14:paraId="7AC2729C" w14:textId="1DC2801E" w:rsidR="00B22226" w:rsidRDefault="00B22226" w:rsidP="00D41C77">
      <w:pPr>
        <w:rPr>
          <w:rFonts w:ascii="Arial" w:hAnsi="Arial" w:cs="Arial"/>
        </w:rPr>
      </w:pPr>
      <w:r>
        <w:rPr>
          <w:rFonts w:ascii="Arial" w:hAnsi="Arial" w:cs="Arial"/>
        </w:rPr>
        <w:t>We propose in [2]</w:t>
      </w:r>
      <w:r w:rsidR="00443C66">
        <w:rPr>
          <w:rFonts w:ascii="Arial" w:hAnsi="Arial" w:cs="Arial"/>
        </w:rPr>
        <w:t>, [3]</w:t>
      </w:r>
      <w:r>
        <w:rPr>
          <w:rFonts w:ascii="Arial" w:hAnsi="Arial" w:cs="Arial"/>
        </w:rPr>
        <w:t xml:space="preserve"> that PDCCH </w:t>
      </w:r>
      <w:r w:rsidRPr="00B22226">
        <w:rPr>
          <w:rFonts w:ascii="Arial" w:hAnsi="Arial" w:cs="Arial"/>
        </w:rPr>
        <w:t>monitoring capability on the maximum number of non-overlapped CCEs per slot for channel estimation</w:t>
      </w:r>
      <w:r>
        <w:rPr>
          <w:rFonts w:ascii="Arial" w:hAnsi="Arial" w:cs="Arial"/>
        </w:rPr>
        <w:t xml:space="preserve"> and the maximum number of </w:t>
      </w:r>
      <w:proofErr w:type="gramStart"/>
      <w:r>
        <w:rPr>
          <w:rFonts w:ascii="Arial" w:hAnsi="Arial" w:cs="Arial"/>
        </w:rPr>
        <w:t>blind</w:t>
      </w:r>
      <w:proofErr w:type="gramEnd"/>
      <w:r>
        <w:rPr>
          <w:rFonts w:ascii="Arial" w:hAnsi="Arial" w:cs="Arial"/>
        </w:rPr>
        <w:t xml:space="preserve"> decodes per slot should be increased for all SCS values. The proposed limit values are doubled compared to those of the Rel-15 limits. </w:t>
      </w:r>
    </w:p>
    <w:p w14:paraId="3BC6DC94" w14:textId="0D80F9D0" w:rsidR="00B22226" w:rsidRDefault="00B22226" w:rsidP="00B22226">
      <w:pPr>
        <w:pStyle w:val="BodyText"/>
        <w:rPr>
          <w:rFonts w:cs="Arial"/>
        </w:rPr>
      </w:pPr>
      <w:r>
        <w:rPr>
          <w:rFonts w:cs="Arial"/>
        </w:rPr>
        <w:t>In addition to the increased limits per slot for PDCCH monitoring</w:t>
      </w:r>
      <w:r w:rsidRPr="007D11A1">
        <w:rPr>
          <w:rFonts w:cs="Arial"/>
        </w:rPr>
        <w:t xml:space="preserve"> capability</w:t>
      </w:r>
      <w:r>
        <w:rPr>
          <w:rFonts w:cs="Arial"/>
        </w:rPr>
        <w:t xml:space="preserve">, it can be reasonable to also introduce some restriction in terms of limits per monitoring span in connection with the UE capability signaling discussion on PDCCH monitoring span. This restriction would help to keep UE </w:t>
      </w:r>
      <w:r>
        <w:rPr>
          <w:rFonts w:cs="Arial"/>
        </w:rPr>
        <w:lastRenderedPageBreak/>
        <w:t xml:space="preserve">complexity at a reasonable level by distributing the BD/CCE limit throughout a slot even if the limit per slot is increased. </w:t>
      </w:r>
    </w:p>
    <w:p w14:paraId="6A29BAF5" w14:textId="622AFC5E" w:rsidR="00C03449" w:rsidRDefault="00C03449" w:rsidP="00C03449">
      <w:pPr>
        <w:pStyle w:val="Observation"/>
      </w:pPr>
      <w:bookmarkStart w:id="2" w:name="_Toc7772703"/>
      <w:r>
        <w:t xml:space="preserve">The increased limit per slot </w:t>
      </w:r>
      <w:r w:rsidR="006B08CC">
        <w:t xml:space="preserve">alone </w:t>
      </w:r>
      <w:r>
        <w:t>for PDCCH monitoring capability can lead to high UE complexity if the whole BD/CCE budget is used for only a few PDCCH monitoring occasions.</w:t>
      </w:r>
      <w:bookmarkEnd w:id="2"/>
      <w:r>
        <w:t xml:space="preserve"> </w:t>
      </w:r>
    </w:p>
    <w:p w14:paraId="27FC5264" w14:textId="15F19827" w:rsidR="00E93CF4" w:rsidRDefault="00E93CF4" w:rsidP="00B22226">
      <w:pPr>
        <w:pStyle w:val="BodyText"/>
        <w:rPr>
          <w:rFonts w:cs="Arial"/>
        </w:rPr>
      </w:pPr>
    </w:p>
    <w:p w14:paraId="7066D121" w14:textId="267F8E87" w:rsidR="00E93CF4" w:rsidRPr="00E93CF4" w:rsidRDefault="00E93CF4" w:rsidP="00E93CF4">
      <w:pPr>
        <w:pStyle w:val="Heading2"/>
      </w:pPr>
      <w:r w:rsidRPr="00E93CF4">
        <w:t xml:space="preserve">2.1 </w:t>
      </w:r>
      <w:r>
        <w:t>Limits per monitoring span</w:t>
      </w:r>
    </w:p>
    <w:p w14:paraId="746956FE" w14:textId="1DF77126" w:rsidR="002F3630" w:rsidRPr="00D0680A" w:rsidRDefault="00B22226" w:rsidP="00B22226">
      <w:pPr>
        <w:pStyle w:val="BodyText"/>
        <w:rPr>
          <w:rFonts w:cs="Arial"/>
        </w:rPr>
      </w:pPr>
      <w:r>
        <w:rPr>
          <w:rFonts w:cs="Arial"/>
        </w:rPr>
        <w:t xml:space="preserve">Rather than specifying fixed limits per monitoring span, it is proposed to </w:t>
      </w:r>
      <w:r w:rsidR="002F3630">
        <w:rPr>
          <w:rFonts w:cs="Arial"/>
        </w:rPr>
        <w:t>determine</w:t>
      </w:r>
      <w:r>
        <w:rPr>
          <w:rFonts w:cs="Arial"/>
        </w:rPr>
        <w:t xml:space="preserve"> the BD/CCE limit per monitoring span based on the (increased) limits per slot and number of monitoring spans in a slot.</w:t>
      </w:r>
      <w:r w:rsidR="002F3630">
        <w:rPr>
          <w:rFonts w:cs="Arial"/>
        </w:rPr>
        <w:t xml:space="preserve"> </w:t>
      </w:r>
      <w:r>
        <w:rPr>
          <w:rFonts w:cs="Arial"/>
        </w:rPr>
        <w:t xml:space="preserve">For example, as a baseline, the BD/CCE limit per monitoring span can be derived as </w:t>
      </w:r>
      <m:oMath>
        <m:r>
          <m:rPr>
            <m:sty m:val="p"/>
          </m:rPr>
          <w:rPr>
            <w:rFonts w:ascii="Cambria Math" w:hAnsi="Cambria Math" w:cs="Arial"/>
          </w:rPr>
          <m:t>BD or CCE limit per monitoring span</m:t>
        </m:r>
        <m:r>
          <w:rPr>
            <w:rFonts w:ascii="Cambria Math" w:hAnsi="Cambria Math" w:cs="Arial"/>
          </w:rPr>
          <m:t>= floor</m:t>
        </m:r>
        <m:d>
          <m:dPr>
            <m:ctrlPr>
              <w:rPr>
                <w:rFonts w:ascii="Cambria Math" w:hAnsi="Cambria Math" w:cs="Arial"/>
                <w:i/>
              </w:rPr>
            </m:ctrlPr>
          </m:dPr>
          <m:e>
            <m:f>
              <m:fPr>
                <m:ctrlPr>
                  <w:rPr>
                    <w:rFonts w:ascii="Cambria Math" w:hAnsi="Cambria Math" w:cs="Arial"/>
                  </w:rPr>
                </m:ctrlPr>
              </m:fPr>
              <m:num>
                <m:r>
                  <m:rPr>
                    <m:sty m:val="p"/>
                  </m:rPr>
                  <w:rPr>
                    <w:rFonts w:ascii="Cambria Math" w:hAnsi="Cambria Math" w:cs="Arial"/>
                  </w:rPr>
                  <m:t>BD/CCE limit per slot</m:t>
                </m:r>
              </m:num>
              <m:den>
                <m:r>
                  <m:rPr>
                    <m:sty m:val="p"/>
                  </m:rPr>
                  <w:rPr>
                    <w:rFonts w:ascii="Cambria Math" w:hAnsi="Cambria Math" w:cs="Arial"/>
                  </w:rPr>
                  <m:t>number of monitoring spans in a slot</m:t>
                </m:r>
              </m:den>
            </m:f>
          </m:e>
        </m:d>
      </m:oMath>
      <w:r w:rsidRPr="002F3630">
        <w:rPr>
          <w:rFonts w:cs="Arial"/>
        </w:rPr>
        <w:t xml:space="preserve">. </w:t>
      </w:r>
    </w:p>
    <w:p w14:paraId="54335385" w14:textId="21C4AC8F" w:rsidR="002F3630" w:rsidRDefault="002E34D9" w:rsidP="002E34D9">
      <w:pPr>
        <w:rPr>
          <w:rFonts w:ascii="Arial" w:hAnsi="Arial" w:cs="Arial"/>
        </w:rPr>
      </w:pPr>
      <w:r>
        <w:rPr>
          <w:rFonts w:ascii="Arial" w:hAnsi="Arial" w:cs="Arial"/>
        </w:rPr>
        <w:t>C</w:t>
      </w:r>
      <w:r w:rsidR="006C05CF" w:rsidRPr="002F3630">
        <w:rPr>
          <w:rFonts w:ascii="Arial" w:hAnsi="Arial" w:cs="Arial"/>
        </w:rPr>
        <w:t xml:space="preserve">onsider CORESET and search space configurations </w:t>
      </w:r>
      <w:r w:rsidR="002F3630" w:rsidRPr="002F3630">
        <w:rPr>
          <w:rFonts w:ascii="Arial" w:hAnsi="Arial" w:cs="Arial"/>
        </w:rPr>
        <w:t>in Fig</w:t>
      </w:r>
      <w:r w:rsidR="0010498F">
        <w:rPr>
          <w:rFonts w:ascii="Arial" w:hAnsi="Arial" w:cs="Arial"/>
        </w:rPr>
        <w:t>.</w:t>
      </w:r>
      <w:r w:rsidRPr="002E34D9">
        <w:rPr>
          <w:rFonts w:ascii="Arial" w:hAnsi="Arial" w:cs="Arial"/>
        </w:rPr>
        <w:t xml:space="preserve"> </w:t>
      </w:r>
      <w:r>
        <w:rPr>
          <w:rFonts w:ascii="Arial" w:hAnsi="Arial" w:cs="Arial"/>
        </w:rPr>
        <w:t xml:space="preserve">1 </w:t>
      </w:r>
      <w:r w:rsidR="002F3630" w:rsidRPr="002F3630">
        <w:rPr>
          <w:rFonts w:ascii="Arial" w:hAnsi="Arial" w:cs="Arial"/>
        </w:rPr>
        <w:t>with</w:t>
      </w:r>
      <w:r w:rsidR="006C05CF" w:rsidRPr="002F3630">
        <w:rPr>
          <w:rFonts w:ascii="Arial" w:hAnsi="Arial" w:cs="Arial"/>
        </w:rPr>
        <w:t xml:space="preserve"> UE</w:t>
      </w:r>
      <w:r w:rsidR="002F3630">
        <w:rPr>
          <w:rFonts w:ascii="Arial" w:hAnsi="Arial" w:cs="Arial"/>
        </w:rPr>
        <w:t xml:space="preserve"> reported monitoring</w:t>
      </w:r>
      <w:r w:rsidR="006C05CF" w:rsidRPr="002F3630">
        <w:rPr>
          <w:rFonts w:ascii="Arial" w:hAnsi="Arial" w:cs="Arial"/>
        </w:rPr>
        <w:t xml:space="preserve"> </w:t>
      </w:r>
      <w:r w:rsidR="002F3630" w:rsidRPr="002F3630">
        <w:rPr>
          <w:rFonts w:ascii="Arial" w:hAnsi="Arial" w:cs="Arial"/>
        </w:rPr>
        <w:t>capability {(4,3</w:t>
      </w:r>
      <w:proofErr w:type="gramStart"/>
      <w:r w:rsidR="002F3630" w:rsidRPr="002F3630">
        <w:rPr>
          <w:rFonts w:ascii="Arial" w:hAnsi="Arial" w:cs="Arial"/>
        </w:rPr>
        <w:t>),(</w:t>
      </w:r>
      <w:proofErr w:type="gramEnd"/>
      <w:r w:rsidR="002F3630" w:rsidRPr="002F3630">
        <w:rPr>
          <w:rFonts w:ascii="Arial" w:hAnsi="Arial" w:cs="Arial"/>
        </w:rPr>
        <w:t xml:space="preserve">7,3)} </w:t>
      </w:r>
      <w:r>
        <w:rPr>
          <w:rFonts w:ascii="Arial" w:hAnsi="Arial" w:cs="Arial"/>
        </w:rPr>
        <w:t>a</w:t>
      </w:r>
      <w:r w:rsidRPr="002F3630">
        <w:rPr>
          <w:rFonts w:ascii="Arial" w:hAnsi="Arial" w:cs="Arial"/>
        </w:rPr>
        <w:t>s an example</w:t>
      </w:r>
      <w:r>
        <w:rPr>
          <w:rFonts w:ascii="Arial" w:hAnsi="Arial" w:cs="Arial"/>
        </w:rPr>
        <w:t xml:space="preserve">. </w:t>
      </w:r>
      <w:r w:rsidR="002F3630" w:rsidRPr="002F3630">
        <w:rPr>
          <w:rFonts w:ascii="Arial" w:hAnsi="Arial" w:cs="Arial"/>
        </w:rPr>
        <w:t>Assume the SCS=15</w:t>
      </w:r>
      <w:r w:rsidR="002F3630">
        <w:rPr>
          <w:rFonts w:ascii="Arial" w:hAnsi="Arial" w:cs="Arial"/>
        </w:rPr>
        <w:t xml:space="preserve"> kHz</w:t>
      </w:r>
      <w:r w:rsidR="002F3630" w:rsidRPr="002F3630">
        <w:rPr>
          <w:rFonts w:ascii="Arial" w:hAnsi="Arial" w:cs="Arial"/>
        </w:rPr>
        <w:t xml:space="preserve">. Let </w:t>
      </w:r>
      <w:r w:rsidR="002F3630">
        <w:rPr>
          <w:rFonts w:ascii="Arial" w:hAnsi="Arial" w:cs="Arial"/>
        </w:rPr>
        <w:t xml:space="preserve">the increased CCE limit per slot be </w:t>
      </w:r>
      <w:r w:rsidR="002F3630" w:rsidRPr="002F3630">
        <w:rPr>
          <w:rFonts w:ascii="Arial" w:hAnsi="Arial" w:cs="Arial"/>
        </w:rPr>
        <w:t>56*2=112 (i.e., twice the CCE limit defined for SC</w:t>
      </w:r>
      <w:r w:rsidR="002F3630">
        <w:rPr>
          <w:rFonts w:ascii="Arial" w:hAnsi="Arial" w:cs="Arial"/>
        </w:rPr>
        <w:t>S</w:t>
      </w:r>
      <w:r w:rsidR="002F3630" w:rsidRPr="002F3630">
        <w:rPr>
          <w:rFonts w:ascii="Arial" w:hAnsi="Arial" w:cs="Arial"/>
        </w:rPr>
        <w:t>=15 kHz in Rel-15). Given the monitoring occasions specified by the CORESET and search space configuration</w:t>
      </w:r>
      <w:r w:rsidR="002F3630">
        <w:rPr>
          <w:rFonts w:ascii="Arial" w:hAnsi="Arial" w:cs="Arial"/>
        </w:rPr>
        <w:t>s</w:t>
      </w:r>
      <w:r w:rsidR="002F3630" w:rsidRPr="002F3630">
        <w:rPr>
          <w:rFonts w:ascii="Arial" w:hAnsi="Arial" w:cs="Arial"/>
        </w:rPr>
        <w:t xml:space="preserve">, </w:t>
      </w:r>
      <w:proofErr w:type="spellStart"/>
      <w:r w:rsidR="002F3630" w:rsidRPr="002F3630">
        <w:rPr>
          <w:rFonts w:ascii="Arial" w:hAnsi="Arial" w:cs="Arial"/>
        </w:rPr>
        <w:t>gNB</w:t>
      </w:r>
      <w:proofErr w:type="spellEnd"/>
      <w:r w:rsidR="002F3630" w:rsidRPr="002F3630">
        <w:rPr>
          <w:rFonts w:ascii="Arial" w:hAnsi="Arial" w:cs="Arial"/>
        </w:rPr>
        <w:t xml:space="preserve"> and UE are aware that there are two monitoring spans in a slot. Thus</w:t>
      </w:r>
      <w:r w:rsidR="002F3630">
        <w:rPr>
          <w:rFonts w:ascii="Arial" w:hAnsi="Arial" w:cs="Arial"/>
        </w:rPr>
        <w:t>,</w:t>
      </w:r>
      <w:r w:rsidR="002F3630" w:rsidRPr="002F3630">
        <w:rPr>
          <w:rFonts w:ascii="Arial" w:hAnsi="Arial" w:cs="Arial"/>
        </w:rPr>
        <w:t xml:space="preserve"> </w:t>
      </w:r>
      <m:oMath>
        <m:r>
          <m:rPr>
            <m:sty m:val="p"/>
          </m:rPr>
          <w:rPr>
            <w:rFonts w:ascii="Cambria Math" w:hAnsi="Cambria Math" w:cs="Arial"/>
          </w:rPr>
          <m:t>CCE limit per monitoring span</m:t>
        </m:r>
        <m:r>
          <w:rPr>
            <w:rFonts w:ascii="Cambria Math" w:hAnsi="Cambria Math" w:cs="Arial"/>
          </w:rPr>
          <m:t>= 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112</m:t>
                </m:r>
              </m:num>
              <m:den>
                <m:r>
                  <w:rPr>
                    <w:rFonts w:ascii="Cambria Math" w:hAnsi="Cambria Math" w:cs="Arial"/>
                  </w:rPr>
                  <m:t>2</m:t>
                </m:r>
              </m:den>
            </m:f>
          </m:e>
        </m:d>
        <m:r>
          <w:rPr>
            <w:rFonts w:ascii="Cambria Math" w:hAnsi="Cambria Math" w:cs="Arial"/>
          </w:rPr>
          <m:t>=56</m:t>
        </m:r>
      </m:oMath>
      <w:r w:rsidR="002F3630" w:rsidRPr="002F3630">
        <w:rPr>
          <w:rFonts w:ascii="Arial" w:hAnsi="Arial" w:cs="Arial"/>
        </w:rPr>
        <w:t xml:space="preserve">, i.e., the UE is expected to perform channel estimation over a maximum of 56 non-overlapping CCEs within each of the two monitoring spans in a slot. </w:t>
      </w:r>
    </w:p>
    <w:p w14:paraId="111CB8ED" w14:textId="77777777" w:rsidR="00D0680A" w:rsidRPr="00D0680A" w:rsidRDefault="00D0680A" w:rsidP="002E34D9">
      <w:pPr>
        <w:rPr>
          <w:rFonts w:ascii="Arial" w:hAnsi="Arial" w:cs="Arial"/>
          <w:sz w:val="18"/>
        </w:rPr>
      </w:pPr>
    </w:p>
    <w:p w14:paraId="7909DE25" w14:textId="1B9AB95A" w:rsidR="0010498F" w:rsidRDefault="0010498F" w:rsidP="00B22226">
      <w:pPr>
        <w:pStyle w:val="BodyText"/>
        <w:rPr>
          <w:rFonts w:cs="Arial"/>
        </w:rPr>
      </w:pPr>
      <w:r>
        <w:rPr>
          <w:noProof/>
        </w:rPr>
        <w:drawing>
          <wp:inline distT="0" distB="0" distL="0" distR="0" wp14:anchorId="19C56147" wp14:editId="1904DC6F">
            <wp:extent cx="6120765" cy="7372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737235"/>
                    </a:xfrm>
                    <a:prstGeom prst="rect">
                      <a:avLst/>
                    </a:prstGeom>
                  </pic:spPr>
                </pic:pic>
              </a:graphicData>
            </a:graphic>
          </wp:inline>
        </w:drawing>
      </w:r>
    </w:p>
    <w:p w14:paraId="38EAE363" w14:textId="0C020B80" w:rsidR="002F3630" w:rsidRPr="00BD49D8" w:rsidRDefault="002F3630" w:rsidP="00BD49D8">
      <w:pPr>
        <w:pStyle w:val="BodyText"/>
        <w:jc w:val="center"/>
        <w:rPr>
          <w:b/>
          <w:sz w:val="20"/>
        </w:rPr>
      </w:pPr>
      <w:r w:rsidRPr="00BD49D8">
        <w:rPr>
          <w:b/>
          <w:sz w:val="20"/>
        </w:rPr>
        <w:t>Figure 1. A monitoring span example, when the UE signals capability of {(4,3</w:t>
      </w:r>
      <w:proofErr w:type="gramStart"/>
      <w:r w:rsidRPr="00BD49D8">
        <w:rPr>
          <w:b/>
          <w:sz w:val="20"/>
        </w:rPr>
        <w:t>),(</w:t>
      </w:r>
      <w:proofErr w:type="gramEnd"/>
      <w:r w:rsidRPr="00BD49D8">
        <w:rPr>
          <w:b/>
          <w:sz w:val="20"/>
        </w:rPr>
        <w:t>7,3)}.</w:t>
      </w:r>
    </w:p>
    <w:p w14:paraId="457FEF96" w14:textId="191BDB4E" w:rsidR="002F3630" w:rsidRDefault="002F3630" w:rsidP="00B22226">
      <w:pPr>
        <w:pStyle w:val="BodyText"/>
        <w:rPr>
          <w:rFonts w:cs="Arial"/>
        </w:rPr>
      </w:pPr>
    </w:p>
    <w:p w14:paraId="7DD65CA3" w14:textId="3B84CA14" w:rsidR="00F31EA0" w:rsidRPr="00F31EA0" w:rsidRDefault="008D7CE0" w:rsidP="00B22226">
      <w:pPr>
        <w:pStyle w:val="BodyText"/>
        <w:rPr>
          <w:sz w:val="20"/>
        </w:rPr>
      </w:pPr>
      <w:r>
        <w:rPr>
          <w:rFonts w:cs="Arial"/>
        </w:rPr>
        <w:t xml:space="preserve">In another example, </w:t>
      </w:r>
      <w:r w:rsidR="0010498F">
        <w:rPr>
          <w:rFonts w:cs="Arial"/>
        </w:rPr>
        <w:t>c</w:t>
      </w:r>
      <w:r w:rsidR="0010498F" w:rsidRPr="002F3630">
        <w:rPr>
          <w:rFonts w:cs="Arial"/>
        </w:rPr>
        <w:t>onsider CORESET and search space configurations in Fig</w:t>
      </w:r>
      <w:r w:rsidR="0010498F">
        <w:rPr>
          <w:rFonts w:cs="Arial"/>
        </w:rPr>
        <w:t>.</w:t>
      </w:r>
      <w:r w:rsidR="0010498F" w:rsidRPr="002E34D9">
        <w:rPr>
          <w:rFonts w:cs="Arial"/>
        </w:rPr>
        <w:t xml:space="preserve"> </w:t>
      </w:r>
      <w:r w:rsidR="0010498F">
        <w:rPr>
          <w:rFonts w:cs="Arial"/>
        </w:rPr>
        <w:t xml:space="preserve">2 </w:t>
      </w:r>
      <w:r w:rsidR="0010498F" w:rsidRPr="002F3630">
        <w:rPr>
          <w:rFonts w:cs="Arial"/>
        </w:rPr>
        <w:t>with UE</w:t>
      </w:r>
      <w:r w:rsidR="0010498F">
        <w:rPr>
          <w:rFonts w:cs="Arial"/>
        </w:rPr>
        <w:t xml:space="preserve"> reported monitoring</w:t>
      </w:r>
      <w:r w:rsidR="0010498F" w:rsidRPr="002F3630">
        <w:rPr>
          <w:rFonts w:cs="Arial"/>
        </w:rPr>
        <w:t xml:space="preserve"> capability </w:t>
      </w:r>
      <w:r w:rsidR="0010498F" w:rsidRPr="000263F2">
        <w:t>{</w:t>
      </w:r>
      <w:r w:rsidR="000263F2">
        <w:t>(</w:t>
      </w:r>
      <w:r w:rsidR="0010498F" w:rsidRPr="000263F2">
        <w:t>2,2</w:t>
      </w:r>
      <w:proofErr w:type="gramStart"/>
      <w:r w:rsidR="000263F2">
        <w:t>)</w:t>
      </w:r>
      <w:r w:rsidR="0010498F" w:rsidRPr="000263F2">
        <w:t>,(</w:t>
      </w:r>
      <w:proofErr w:type="gramEnd"/>
      <w:r w:rsidR="0010498F" w:rsidRPr="000263F2">
        <w:t xml:space="preserve">4,3),(7,3)}. </w:t>
      </w:r>
      <w:r w:rsidR="0010498F" w:rsidRPr="00FB6BC9">
        <w:t xml:space="preserve">In this </w:t>
      </w:r>
      <w:r w:rsidR="00EB53BB" w:rsidRPr="00FB6BC9">
        <w:t>case</w:t>
      </w:r>
      <w:r w:rsidR="0010498F" w:rsidRPr="00FB6BC9">
        <w:t>, there are five monitoring spans in each slot</w:t>
      </w:r>
      <w:r w:rsidR="00EB53BB" w:rsidRPr="00FB6BC9">
        <w:t xml:space="preserve"> however</w:t>
      </w:r>
      <w:r w:rsidR="0010498F" w:rsidRPr="00FB6BC9">
        <w:t xml:space="preserve"> </w:t>
      </w:r>
      <w:r w:rsidR="00EB53BB" w:rsidRPr="00FB6BC9">
        <w:t>some</w:t>
      </w:r>
      <w:r w:rsidR="0010498F" w:rsidRPr="00FB6BC9">
        <w:t xml:space="preserve"> monitoring spans </w:t>
      </w:r>
      <w:r w:rsidR="00EB53BB" w:rsidRPr="00FB6BC9">
        <w:t xml:space="preserve">in some slots </w:t>
      </w:r>
      <w:r w:rsidR="0010498F" w:rsidRPr="00FB6BC9">
        <w:t xml:space="preserve">do not contain any monitoring occasions, e.g., </w:t>
      </w:r>
      <w:r w:rsidR="00FB6BC9" w:rsidRPr="00FB6BC9">
        <w:t>monitoring span</w:t>
      </w:r>
      <w:r w:rsidR="009451C5">
        <w:t>s</w:t>
      </w:r>
      <w:r w:rsidR="00FB6BC9" w:rsidRPr="00FB6BC9">
        <w:t xml:space="preserve"> #2 and #4 in slot </w:t>
      </w:r>
      <w:r w:rsidR="00FB6BC9" w:rsidRPr="009451C5">
        <w:rPr>
          <w:i/>
        </w:rPr>
        <w:t>j</w:t>
      </w:r>
      <w:r w:rsidR="009451C5">
        <w:rPr>
          <w:i/>
        </w:rPr>
        <w:t>,</w:t>
      </w:r>
      <w:r w:rsidR="00FB6BC9" w:rsidRPr="00FB6BC9">
        <w:t xml:space="preserve"> or </w:t>
      </w:r>
      <w:r w:rsidR="0010498F" w:rsidRPr="00FB6BC9">
        <w:t>monitoring span</w:t>
      </w:r>
      <w:r w:rsidR="009451C5">
        <w:t>s</w:t>
      </w:r>
      <w:r w:rsidR="0010498F" w:rsidRPr="00FB6BC9">
        <w:t xml:space="preserve"> #2, #4, and #5 in slot </w:t>
      </w:r>
      <w:r w:rsidR="0010498F" w:rsidRPr="009451C5">
        <w:rPr>
          <w:i/>
        </w:rPr>
        <w:t>j</w:t>
      </w:r>
      <w:r w:rsidR="00EB53BB" w:rsidRPr="009451C5">
        <w:rPr>
          <w:i/>
        </w:rPr>
        <w:t>+1</w:t>
      </w:r>
      <w:r w:rsidR="00EB53BB" w:rsidRPr="00FB6BC9">
        <w:t xml:space="preserve">. Since a UE does not perform PDCCH monitoring in an empty monitoring span, the derivation of limit per monitoring span should take into account only non-empty monitoring spans, i.e., we have   </w:t>
      </w:r>
      <m:oMath>
        <m:r>
          <m:rPr>
            <m:sty m:val="p"/>
          </m:rPr>
          <w:rPr>
            <w:rFonts w:ascii="Cambria Math" w:hAnsi="Cambria Math" w:cs="Arial"/>
          </w:rPr>
          <m:t>BD or CCE limit of monitoring span in slot</m:t>
        </m:r>
        <m:r>
          <w:rPr>
            <w:rFonts w:ascii="Cambria Math" w:hAnsi="Cambria Math" w:cs="Arial"/>
          </w:rPr>
          <m:t xml:space="preserve"> j= floor</m:t>
        </m:r>
        <m:d>
          <m:dPr>
            <m:ctrlPr>
              <w:rPr>
                <w:rFonts w:ascii="Cambria Math" w:hAnsi="Cambria Math" w:cs="Arial"/>
                <w:i/>
              </w:rPr>
            </m:ctrlPr>
          </m:dPr>
          <m:e>
            <m:f>
              <m:fPr>
                <m:ctrlPr>
                  <w:rPr>
                    <w:rFonts w:ascii="Cambria Math" w:hAnsi="Cambria Math" w:cs="Arial"/>
                    <w:i/>
                  </w:rPr>
                </m:ctrlPr>
              </m:fPr>
              <m:num>
                <m:r>
                  <m:rPr>
                    <m:sty m:val="p"/>
                  </m:rPr>
                  <w:rPr>
                    <w:rFonts w:ascii="Cambria Math" w:hAnsi="Cambria Math" w:cs="Arial"/>
                  </w:rPr>
                  <m:t xml:space="preserve">BD/CCE limit per slot </m:t>
                </m:r>
              </m:num>
              <m:den>
                <m:r>
                  <m:rPr>
                    <m:sty m:val="p"/>
                  </m:rPr>
                  <w:rPr>
                    <w:rFonts w:ascii="Cambria Math" w:hAnsi="Cambria Math" w:cs="Arial"/>
                  </w:rPr>
                  <m:t xml:space="preserve">number of non-empty monitoring spans in slot </m:t>
                </m:r>
                <m:r>
                  <w:rPr>
                    <w:rFonts w:ascii="Cambria Math" w:hAnsi="Cambria Math" w:cs="Arial"/>
                  </w:rPr>
                  <m:t>j</m:t>
                </m:r>
              </m:den>
            </m:f>
          </m:e>
        </m:d>
      </m:oMath>
      <w:r w:rsidR="00EB53BB">
        <w:t>.</w:t>
      </w:r>
      <w:r w:rsidR="00FB6BC9">
        <w:t xml:space="preserve"> </w:t>
      </w:r>
      <w:r w:rsidR="00FB6BC9" w:rsidRPr="00FB6BC9">
        <w:t xml:space="preserve">For 15 kHz SCS with the increased limit of 112 non-overlapping CCEs per slot, the CCE limit for slot </w:t>
      </w:r>
      <w:r w:rsidR="00FB6BC9" w:rsidRPr="00FB6BC9">
        <w:rPr>
          <w:i/>
        </w:rPr>
        <w:t>j</w:t>
      </w:r>
      <w:r w:rsidR="00FB6BC9" w:rsidRPr="00FB6BC9">
        <w:t xml:space="preserve"> </w:t>
      </w:r>
      <w:r w:rsidR="00FB6BC9" w:rsidRPr="009451C5">
        <w:t>illustrated</w:t>
      </w:r>
      <w:r w:rsidR="00FB6BC9" w:rsidRPr="009451C5">
        <w:rPr>
          <w:sz w:val="24"/>
        </w:rPr>
        <w:t xml:space="preserve"> </w:t>
      </w:r>
      <w:r w:rsidR="00FB6BC9" w:rsidRPr="00FB6BC9">
        <w:t>is</w:t>
      </w:r>
      <w:r w:rsidR="00FB6BC9">
        <w:rPr>
          <w:sz w:val="20"/>
        </w:rPr>
        <w:t xml:space="preserve"> </w:t>
      </w:r>
      <m:oMath>
        <m:r>
          <w:rPr>
            <w:rFonts w:ascii="Cambria Math" w:hAnsi="Cambria Math" w:cs="Arial"/>
          </w:rPr>
          <m:t>floor</m:t>
        </m:r>
        <m:d>
          <m:dPr>
            <m:ctrlPr>
              <w:rPr>
                <w:rFonts w:ascii="Cambria Math" w:hAnsi="Cambria Math" w:cs="Arial"/>
                <w:i/>
              </w:rPr>
            </m:ctrlPr>
          </m:dPr>
          <m:e>
            <m:f>
              <m:fPr>
                <m:ctrlPr>
                  <w:rPr>
                    <w:rFonts w:ascii="Cambria Math" w:hAnsi="Cambria Math" w:cs="Arial"/>
                    <w:i/>
                  </w:rPr>
                </m:ctrlPr>
              </m:fPr>
              <m:num>
                <m:r>
                  <m:rPr>
                    <m:sty m:val="p"/>
                  </m:rPr>
                  <w:rPr>
                    <w:rFonts w:ascii="Cambria Math" w:hAnsi="Cambria Math" w:cs="Arial"/>
                  </w:rPr>
                  <m:t xml:space="preserve">112 </m:t>
                </m:r>
              </m:num>
              <m:den>
                <m:r>
                  <w:rPr>
                    <w:rFonts w:ascii="Cambria Math" w:hAnsi="Cambria Math" w:cs="Arial"/>
                  </w:rPr>
                  <m:t>3</m:t>
                </m:r>
              </m:den>
            </m:f>
          </m:e>
        </m:d>
        <m:r>
          <w:rPr>
            <w:rFonts w:ascii="Cambria Math" w:hAnsi="Cambria Math" w:cs="Arial"/>
          </w:rPr>
          <m:t>=37</m:t>
        </m:r>
      </m:oMath>
      <w:r w:rsidR="00FB6BC9">
        <w:t xml:space="preserve">. </w:t>
      </w:r>
      <w:r w:rsidR="00FB6BC9" w:rsidRPr="00F31EA0">
        <w:t xml:space="preserve">That is, for slot </w:t>
      </w:r>
      <w:r w:rsidR="00FB6BC9" w:rsidRPr="009451C5">
        <w:rPr>
          <w:i/>
        </w:rPr>
        <w:t>j</w:t>
      </w:r>
      <w:r w:rsidR="00FB6BC9" w:rsidRPr="00F31EA0">
        <w:t>, the UE is expected to perform channel estimation over a maximum of 37 non-overlapping CCEs within each of the three non-empty monitoring spans in a slot.</w:t>
      </w:r>
      <w:r w:rsidR="00F31EA0" w:rsidRPr="00F31EA0">
        <w:t xml:space="preserve"> Similarly, </w:t>
      </w:r>
      <w:r w:rsidR="00F31EA0" w:rsidRPr="00FB6BC9">
        <w:t xml:space="preserve">the CCE </w:t>
      </w:r>
      <w:r w:rsidR="00F31EA0" w:rsidRPr="00F31EA0">
        <w:t xml:space="preserve">limit </w:t>
      </w:r>
      <w:r w:rsidR="009451C5">
        <w:t xml:space="preserve">per monitoring span </w:t>
      </w:r>
      <w:r w:rsidR="00F31EA0" w:rsidRPr="00F31EA0">
        <w:t>for slot</w:t>
      </w:r>
      <w:r w:rsidR="00F31EA0">
        <w:rPr>
          <w:sz w:val="20"/>
        </w:rPr>
        <w:t xml:space="preserve"> </w:t>
      </w:r>
      <w:r w:rsidR="00F31EA0" w:rsidRPr="00F31EA0">
        <w:rPr>
          <w:i/>
          <w:sz w:val="20"/>
        </w:rPr>
        <w:t>j+1</w:t>
      </w:r>
      <w:r w:rsidR="00F31EA0">
        <w:rPr>
          <w:sz w:val="20"/>
        </w:rPr>
        <w:t xml:space="preserve"> </w:t>
      </w:r>
      <w:r w:rsidR="00F31EA0" w:rsidRPr="00F31EA0">
        <w:t xml:space="preserve">illustrated </w:t>
      </w:r>
      <w:r w:rsidR="00F31EA0">
        <w:t xml:space="preserve">is </w:t>
      </w:r>
      <m:oMath>
        <m:r>
          <w:rPr>
            <w:rFonts w:ascii="Cambria Math" w:hAnsi="Cambria Math"/>
          </w:rPr>
          <m:t>f</m:t>
        </m:r>
        <m:r>
          <w:rPr>
            <w:rFonts w:ascii="Cambria Math" w:hAnsi="Cambria Math" w:cs="Arial"/>
          </w:rPr>
          <m:t>loor</m:t>
        </m:r>
        <m:d>
          <m:dPr>
            <m:ctrlPr>
              <w:rPr>
                <w:rFonts w:ascii="Cambria Math" w:hAnsi="Cambria Math" w:cs="Arial"/>
                <w:i/>
              </w:rPr>
            </m:ctrlPr>
          </m:dPr>
          <m:e>
            <m:f>
              <m:fPr>
                <m:ctrlPr>
                  <w:rPr>
                    <w:rFonts w:ascii="Cambria Math" w:hAnsi="Cambria Math" w:cs="Arial"/>
                    <w:i/>
                  </w:rPr>
                </m:ctrlPr>
              </m:fPr>
              <m:num>
                <m:r>
                  <m:rPr>
                    <m:sty m:val="p"/>
                  </m:rPr>
                  <w:rPr>
                    <w:rFonts w:ascii="Cambria Math" w:hAnsi="Cambria Math" w:cs="Arial"/>
                  </w:rPr>
                  <m:t xml:space="preserve">112 </m:t>
                </m:r>
              </m:num>
              <m:den>
                <m:r>
                  <w:rPr>
                    <w:rFonts w:ascii="Cambria Math" w:hAnsi="Cambria Math" w:cs="Arial"/>
                  </w:rPr>
                  <m:t>2</m:t>
                </m:r>
              </m:den>
            </m:f>
          </m:e>
        </m:d>
        <m:r>
          <w:rPr>
            <w:rFonts w:ascii="Cambria Math" w:hAnsi="Cambria Math" w:cs="Arial"/>
          </w:rPr>
          <m:t>=56</m:t>
        </m:r>
      </m:oMath>
      <w:r w:rsidR="00F31EA0">
        <w:t>.</w:t>
      </w:r>
    </w:p>
    <w:p w14:paraId="2C50D85A" w14:textId="77777777" w:rsidR="00FB6BC9" w:rsidRPr="00D0680A" w:rsidRDefault="00FB6BC9" w:rsidP="00B22226">
      <w:pPr>
        <w:pStyle w:val="BodyText"/>
        <w:rPr>
          <w:rFonts w:cs="Arial"/>
          <w:sz w:val="18"/>
        </w:rPr>
      </w:pPr>
    </w:p>
    <w:p w14:paraId="29ADBC1B" w14:textId="5C712E0B" w:rsidR="0010498F" w:rsidRDefault="0010498F" w:rsidP="00B22226">
      <w:pPr>
        <w:pStyle w:val="BodyText"/>
        <w:rPr>
          <w:rFonts w:cs="Arial"/>
        </w:rPr>
      </w:pPr>
      <w:r>
        <w:rPr>
          <w:noProof/>
        </w:rPr>
        <w:drawing>
          <wp:inline distT="0" distB="0" distL="0" distR="0" wp14:anchorId="7D004CC3" wp14:editId="652ACB52">
            <wp:extent cx="6120765" cy="7289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728980"/>
                    </a:xfrm>
                    <a:prstGeom prst="rect">
                      <a:avLst/>
                    </a:prstGeom>
                  </pic:spPr>
                </pic:pic>
              </a:graphicData>
            </a:graphic>
          </wp:inline>
        </w:drawing>
      </w:r>
    </w:p>
    <w:p w14:paraId="651E4F7B" w14:textId="794A864F" w:rsidR="0010498F" w:rsidRPr="00BD49D8" w:rsidRDefault="0010498F" w:rsidP="0010498F">
      <w:pPr>
        <w:pStyle w:val="BodyText"/>
        <w:jc w:val="center"/>
        <w:rPr>
          <w:b/>
          <w:sz w:val="20"/>
        </w:rPr>
      </w:pPr>
      <w:r w:rsidRPr="00BD49D8">
        <w:rPr>
          <w:b/>
          <w:sz w:val="20"/>
        </w:rPr>
        <w:t xml:space="preserve">Figure </w:t>
      </w:r>
      <w:r>
        <w:rPr>
          <w:b/>
          <w:sz w:val="20"/>
        </w:rPr>
        <w:t>2</w:t>
      </w:r>
      <w:r w:rsidRPr="00BD49D8">
        <w:rPr>
          <w:b/>
          <w:sz w:val="20"/>
        </w:rPr>
        <w:t>. A monitoring span example, when the UE signals capability of {</w:t>
      </w:r>
      <w:r>
        <w:rPr>
          <w:b/>
          <w:sz w:val="20"/>
        </w:rPr>
        <w:t>(2,2</w:t>
      </w:r>
      <w:proofErr w:type="gramStart"/>
      <w:r>
        <w:rPr>
          <w:b/>
          <w:sz w:val="20"/>
        </w:rPr>
        <w:t>),</w:t>
      </w:r>
      <w:r w:rsidRPr="00BD49D8">
        <w:rPr>
          <w:b/>
          <w:sz w:val="20"/>
        </w:rPr>
        <w:t>(</w:t>
      </w:r>
      <w:proofErr w:type="gramEnd"/>
      <w:r w:rsidRPr="00BD49D8">
        <w:rPr>
          <w:b/>
          <w:sz w:val="20"/>
        </w:rPr>
        <w:t>4,3),(7,3)}.</w:t>
      </w:r>
    </w:p>
    <w:p w14:paraId="66435CFB" w14:textId="562DC1C8" w:rsidR="008D7CE0" w:rsidRDefault="008D7CE0" w:rsidP="00B22226">
      <w:pPr>
        <w:pStyle w:val="BodyText"/>
        <w:rPr>
          <w:rFonts w:cs="Arial"/>
        </w:rPr>
      </w:pPr>
    </w:p>
    <w:p w14:paraId="05C54879" w14:textId="5B9087A8" w:rsidR="00B22226" w:rsidRPr="00F31EA0" w:rsidRDefault="001A296E" w:rsidP="00F31EA0">
      <w:pPr>
        <w:rPr>
          <w:sz w:val="20"/>
        </w:rPr>
      </w:pPr>
      <w:r w:rsidRPr="00F31EA0">
        <w:rPr>
          <w:rFonts w:ascii="Arial" w:hAnsi="Arial"/>
        </w:rPr>
        <w:t>When accounting for non-empty monitoring span only, the maximum number of non-overlapping CCEs</w:t>
      </w:r>
      <w:r w:rsidR="007513A8">
        <w:rPr>
          <w:rFonts w:ascii="Arial" w:hAnsi="Arial"/>
        </w:rPr>
        <w:t xml:space="preserve"> or blind decodes</w:t>
      </w:r>
      <w:r w:rsidRPr="00F31EA0">
        <w:rPr>
          <w:rFonts w:ascii="Arial" w:hAnsi="Arial"/>
        </w:rPr>
        <w:t xml:space="preserve"> for a given monitoring span can be</w:t>
      </w:r>
      <w:r w:rsidR="00F31EA0" w:rsidRPr="00F31EA0">
        <w:rPr>
          <w:rFonts w:ascii="Arial" w:hAnsi="Arial"/>
        </w:rPr>
        <w:t>come</w:t>
      </w:r>
      <w:r w:rsidRPr="00F31EA0">
        <w:rPr>
          <w:rFonts w:ascii="Arial" w:hAnsi="Arial"/>
        </w:rPr>
        <w:t xml:space="preserve"> too high. Thus, the </w:t>
      </w:r>
      <w:r w:rsidR="007513A8">
        <w:rPr>
          <w:rFonts w:ascii="Arial" w:hAnsi="Arial"/>
        </w:rPr>
        <w:t>BD/</w:t>
      </w:r>
      <w:r w:rsidRPr="00F31EA0">
        <w:rPr>
          <w:rFonts w:ascii="Arial" w:hAnsi="Arial"/>
        </w:rPr>
        <w:t xml:space="preserve">CCE limit </w:t>
      </w:r>
      <w:r w:rsidR="007513A8">
        <w:rPr>
          <w:rFonts w:ascii="Arial" w:hAnsi="Arial"/>
        </w:rPr>
        <w:t xml:space="preserve">per monitoring span </w:t>
      </w:r>
      <w:r w:rsidRPr="00F31EA0">
        <w:rPr>
          <w:rFonts w:ascii="Arial" w:hAnsi="Arial"/>
        </w:rPr>
        <w:t xml:space="preserve">can be further limited by </w:t>
      </w:r>
      <w:r w:rsidR="00FB6BC9" w:rsidRPr="00F31EA0">
        <w:rPr>
          <w:rFonts w:ascii="Arial" w:hAnsi="Arial"/>
        </w:rPr>
        <w:t>some predefined</w:t>
      </w:r>
      <w:r w:rsidRPr="00F31EA0">
        <w:rPr>
          <w:rFonts w:ascii="Arial" w:hAnsi="Arial"/>
        </w:rPr>
        <w:t xml:space="preserve"> maximum </w:t>
      </w:r>
      <w:r w:rsidR="00FB6BC9" w:rsidRPr="00F31EA0">
        <w:rPr>
          <w:rFonts w:ascii="Arial" w:hAnsi="Arial"/>
        </w:rPr>
        <w:t>v</w:t>
      </w:r>
      <w:r w:rsidRPr="00F31EA0">
        <w:rPr>
          <w:rFonts w:ascii="Arial" w:hAnsi="Arial"/>
        </w:rPr>
        <w:t xml:space="preserve">alue. </w:t>
      </w:r>
    </w:p>
    <w:p w14:paraId="00FCF4D5" w14:textId="3DDCD574" w:rsidR="00A7383C" w:rsidRDefault="00B22226" w:rsidP="00D0680A">
      <w:pPr>
        <w:pStyle w:val="BodyText"/>
        <w:rPr>
          <w:rFonts w:cs="Arial"/>
        </w:rPr>
      </w:pPr>
      <w:r w:rsidRPr="007D11A1">
        <w:rPr>
          <w:rFonts w:cs="Arial"/>
        </w:rPr>
        <w:t xml:space="preserve">Based on the above </w:t>
      </w:r>
      <w:r w:rsidR="00F31EA0">
        <w:rPr>
          <w:rFonts w:cs="Arial"/>
        </w:rPr>
        <w:t>discussions</w:t>
      </w:r>
      <w:r w:rsidRPr="007D11A1">
        <w:rPr>
          <w:rFonts w:cs="Arial"/>
        </w:rPr>
        <w:t xml:space="preserve">, </w:t>
      </w:r>
      <w:r w:rsidR="00F31EA0">
        <w:rPr>
          <w:rFonts w:cs="Arial"/>
        </w:rPr>
        <w:t>we have the following proposals for the limit</w:t>
      </w:r>
      <w:r w:rsidR="00C03449">
        <w:rPr>
          <w:rFonts w:cs="Arial"/>
        </w:rPr>
        <w:t>s</w:t>
      </w:r>
      <w:r w:rsidR="00F31EA0">
        <w:rPr>
          <w:rFonts w:cs="Arial"/>
        </w:rPr>
        <w:t xml:space="preserve"> per monitoring span for the maximum number of non-overlapping CCEs and blind decodes</w:t>
      </w:r>
      <w:r w:rsidRPr="007D11A1">
        <w:rPr>
          <w:rFonts w:cs="Arial"/>
        </w:rPr>
        <w:t>:</w:t>
      </w:r>
    </w:p>
    <w:p w14:paraId="5BF58E38" w14:textId="77777777" w:rsidR="00D0680A" w:rsidRPr="007D11A1" w:rsidRDefault="00D0680A" w:rsidP="00D0680A">
      <w:pPr>
        <w:pStyle w:val="BodyText"/>
        <w:rPr>
          <w:rFonts w:cs="Arial"/>
        </w:rPr>
      </w:pPr>
    </w:p>
    <w:p w14:paraId="49C07766" w14:textId="376C3CBA" w:rsidR="00C03449" w:rsidRDefault="00C03449" w:rsidP="00A7383C">
      <w:pPr>
        <w:pStyle w:val="Proposal"/>
      </w:pPr>
      <w:bookmarkStart w:id="3" w:name="_Toc7772701"/>
      <w:r>
        <w:t xml:space="preserve">In addition to the increased limit for PDCCH monitoring capability for Rel-16 UE, </w:t>
      </w:r>
      <w:r w:rsidR="000D5E27">
        <w:t>introduce</w:t>
      </w:r>
      <w:r>
        <w:t xml:space="preserve"> limits per monitoring spans for the maximum number of non-overlapping CCEs for channel estimation and maximum number of PDCCH blind decodes.</w:t>
      </w:r>
      <w:bookmarkEnd w:id="3"/>
      <w:r w:rsidR="00F31EA0">
        <w:t xml:space="preserve"> </w:t>
      </w:r>
    </w:p>
    <w:p w14:paraId="477CA64B" w14:textId="4B060252" w:rsidR="00A63D14" w:rsidRPr="00C03449" w:rsidRDefault="00C03449" w:rsidP="00D41C77">
      <w:pPr>
        <w:pStyle w:val="Proposal"/>
      </w:pPr>
      <w:bookmarkStart w:id="4" w:name="_Toc7772702"/>
      <w:r>
        <w:t>Determine the limits per monitoring spans for the maximum number of non-overlapping CCEs and blind decodes as a function of the limits per slot and number of non-empty monitoring spans in a slot</w:t>
      </w:r>
      <w:r w:rsidR="00D41C77" w:rsidRPr="00A7383C">
        <w:t>.</w:t>
      </w:r>
      <w:bookmarkEnd w:id="4"/>
    </w:p>
    <w:p w14:paraId="0E50A7A9" w14:textId="77777777" w:rsidR="00C01F33" w:rsidRPr="00CE0424" w:rsidRDefault="00C01F33" w:rsidP="00CE0424">
      <w:pPr>
        <w:pStyle w:val="Heading1"/>
      </w:pPr>
      <w:r w:rsidRPr="00CE0424">
        <w:t>Conclusion</w:t>
      </w:r>
    </w:p>
    <w:p w14:paraId="473CB8C3" w14:textId="77777777" w:rsidR="008E065E" w:rsidRPr="00C34971" w:rsidRDefault="008E065E" w:rsidP="008E065E">
      <w:pPr>
        <w:pStyle w:val="BodyText"/>
        <w:rPr>
          <w:b/>
          <w:bCs/>
        </w:rPr>
      </w:pPr>
      <w:r w:rsidRPr="00C34971">
        <w:t xml:space="preserve">In </w:t>
      </w:r>
      <w:r w:rsidR="007729A2" w:rsidRPr="00C34971">
        <w:t xml:space="preserve">the previous </w:t>
      </w:r>
      <w:r w:rsidRPr="00C34971">
        <w:t>section</w:t>
      </w:r>
      <w:r w:rsidR="007729A2" w:rsidRPr="00C34971">
        <w:t>s</w:t>
      </w:r>
      <w:r w:rsidRPr="00C34971">
        <w:t xml:space="preserve"> we made the following observations:</w:t>
      </w:r>
      <w:r w:rsidR="00C93814" w:rsidRPr="00C34971">
        <w:rPr>
          <w:b/>
          <w:bCs/>
        </w:rPr>
        <w:t xml:space="preserve"> </w:t>
      </w:r>
    </w:p>
    <w:p w14:paraId="21ECBC86" w14:textId="04B56D69" w:rsidR="000D5E27" w:rsidRDefault="006F6582">
      <w:pPr>
        <w:pStyle w:val="TableofFigures"/>
        <w:tabs>
          <w:tab w:val="right" w:leader="dot" w:pos="9629"/>
        </w:tabs>
        <w:rPr>
          <w:rFonts w:asciiTheme="minorHAnsi"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7772703" w:history="1">
        <w:r w:rsidR="000D5E27" w:rsidRPr="00B74383">
          <w:rPr>
            <w:rStyle w:val="Hyperlink"/>
            <w:noProof/>
          </w:rPr>
          <w:t>Observation 1</w:t>
        </w:r>
        <w:r w:rsidR="000D5E27">
          <w:rPr>
            <w:rFonts w:asciiTheme="minorHAnsi" w:hAnsiTheme="minorHAnsi"/>
            <w:b w:val="0"/>
            <w:noProof/>
            <w:lang w:eastAsia="en-US"/>
          </w:rPr>
          <w:tab/>
        </w:r>
        <w:r w:rsidR="000D5E27" w:rsidRPr="00B74383">
          <w:rPr>
            <w:rStyle w:val="Hyperlink"/>
            <w:noProof/>
          </w:rPr>
          <w:t>The increased limit per slot alone for PDCCH monitoring capability can lead to high UE complexity if the whole BD/CCE budget is used for only a few PDCCH monitoring occasions.</w:t>
        </w:r>
      </w:hyperlink>
    </w:p>
    <w:p w14:paraId="638CBFAF" w14:textId="2DE41455" w:rsidR="006E1C82" w:rsidRDefault="006F6582" w:rsidP="008E065E">
      <w:pPr>
        <w:pStyle w:val="BodyText"/>
        <w:rPr>
          <w:b/>
          <w:bCs/>
        </w:rPr>
      </w:pPr>
      <w:r>
        <w:rPr>
          <w:b/>
          <w:bCs/>
        </w:rPr>
        <w:fldChar w:fldCharType="end"/>
      </w:r>
    </w:p>
    <w:p w14:paraId="29A28494" w14:textId="77777777" w:rsidR="006E1C82" w:rsidRPr="00C34971" w:rsidRDefault="008E065E" w:rsidP="006E1C82">
      <w:pPr>
        <w:pStyle w:val="BodyText"/>
      </w:pPr>
      <w:r w:rsidRPr="00C34971">
        <w:t xml:space="preserve">Based on the discussion in </w:t>
      </w:r>
      <w:r w:rsidR="007729A2" w:rsidRPr="00C34971">
        <w:t xml:space="preserve">the previous </w:t>
      </w:r>
      <w:r w:rsidRPr="00C34971">
        <w:t>section</w:t>
      </w:r>
      <w:r w:rsidR="007729A2" w:rsidRPr="00C34971">
        <w:t>s</w:t>
      </w:r>
      <w:r w:rsidRPr="00C34971">
        <w:t xml:space="preserve"> we propose the following:</w:t>
      </w:r>
    </w:p>
    <w:p w14:paraId="3C7119FA" w14:textId="63DE7059" w:rsidR="000D5E27" w:rsidRDefault="006E1C82">
      <w:pPr>
        <w:pStyle w:val="TableofFigures"/>
        <w:tabs>
          <w:tab w:val="right" w:leader="dot" w:pos="9629"/>
        </w:tabs>
        <w:rPr>
          <w:rFonts w:asciiTheme="minorHAnsi"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7772701" w:history="1">
        <w:r w:rsidR="000D5E27" w:rsidRPr="0035467B">
          <w:rPr>
            <w:rStyle w:val="Hyperlink"/>
            <w:noProof/>
          </w:rPr>
          <w:t>Proposal 1</w:t>
        </w:r>
        <w:r w:rsidR="000D5E27">
          <w:rPr>
            <w:rFonts w:asciiTheme="minorHAnsi" w:hAnsiTheme="minorHAnsi"/>
            <w:b w:val="0"/>
            <w:noProof/>
            <w:lang w:eastAsia="en-US"/>
          </w:rPr>
          <w:tab/>
        </w:r>
        <w:r w:rsidR="000D5E27" w:rsidRPr="0035467B">
          <w:rPr>
            <w:rStyle w:val="Hyperlink"/>
            <w:noProof/>
          </w:rPr>
          <w:t>In addition to the increased limit for PDCCH monitoring capability for Rel-16 UE, introduce limits per monitoring spans for the maximum number of non-overlapping CCEs for channel estimation and maximum number of PDCCH blind decodes.</w:t>
        </w:r>
      </w:hyperlink>
    </w:p>
    <w:p w14:paraId="59FE6A9A" w14:textId="0B03D307" w:rsidR="000D5E27" w:rsidRDefault="004F40A3">
      <w:pPr>
        <w:pStyle w:val="TableofFigures"/>
        <w:tabs>
          <w:tab w:val="right" w:leader="dot" w:pos="9629"/>
        </w:tabs>
        <w:rPr>
          <w:rFonts w:asciiTheme="minorHAnsi" w:hAnsiTheme="minorHAnsi"/>
          <w:b w:val="0"/>
          <w:noProof/>
          <w:lang w:eastAsia="en-US"/>
        </w:rPr>
      </w:pPr>
      <w:hyperlink w:anchor="_Toc7772702" w:history="1">
        <w:r w:rsidR="000D5E27" w:rsidRPr="0035467B">
          <w:rPr>
            <w:rStyle w:val="Hyperlink"/>
            <w:noProof/>
          </w:rPr>
          <w:t>Proposal 2</w:t>
        </w:r>
        <w:r w:rsidR="000D5E27">
          <w:rPr>
            <w:rFonts w:asciiTheme="minorHAnsi" w:hAnsiTheme="minorHAnsi"/>
            <w:b w:val="0"/>
            <w:noProof/>
            <w:lang w:eastAsia="en-US"/>
          </w:rPr>
          <w:tab/>
        </w:r>
        <w:r w:rsidR="000D5E27" w:rsidRPr="0035467B">
          <w:rPr>
            <w:rStyle w:val="Hyperlink"/>
            <w:noProof/>
          </w:rPr>
          <w:t>Determine the limits per monitoring spans for the maximum number of non-overlapping CCEs and blind decodes as a function of the limits per slot and number of non-empty monitoring spans in a slot.</w:t>
        </w:r>
      </w:hyperlink>
    </w:p>
    <w:p w14:paraId="4CE1F56F" w14:textId="41BE4BDC" w:rsidR="006E1C82" w:rsidRPr="00CE0424" w:rsidRDefault="006E1C82" w:rsidP="006E1C82">
      <w:pPr>
        <w:pStyle w:val="BodyText"/>
        <w:rPr>
          <w:b/>
          <w:bCs/>
        </w:rPr>
      </w:pPr>
      <w:r>
        <w:rPr>
          <w:b/>
          <w:bCs/>
        </w:rPr>
        <w:fldChar w:fldCharType="end"/>
      </w:r>
      <w:r w:rsidRPr="00CE0424">
        <w:rPr>
          <w:b/>
          <w:bCs/>
        </w:rPr>
        <w:t xml:space="preserve"> </w:t>
      </w:r>
    </w:p>
    <w:p w14:paraId="2E9054E1" w14:textId="77777777" w:rsidR="00F507D1" w:rsidRPr="00CE0424" w:rsidRDefault="00F507D1" w:rsidP="00CE0424">
      <w:pPr>
        <w:pStyle w:val="Heading1"/>
      </w:pPr>
      <w:bookmarkStart w:id="5" w:name="_In-sequence_SDU_delivery"/>
      <w:bookmarkEnd w:id="5"/>
      <w:r w:rsidRPr="00CE0424">
        <w:t>References</w:t>
      </w:r>
    </w:p>
    <w:p w14:paraId="18CB8893" w14:textId="2C3257A4" w:rsidR="00DC6888" w:rsidRPr="00DC6888" w:rsidRDefault="00DC6888" w:rsidP="00DC6888">
      <w:pPr>
        <w:pStyle w:val="Reference"/>
        <w:spacing w:after="160"/>
        <w:jc w:val="left"/>
      </w:pPr>
      <w:bookmarkStart w:id="6" w:name="_Hlk525729829"/>
      <w:bookmarkStart w:id="7" w:name="_Hlk4414720"/>
      <w:bookmarkStart w:id="8" w:name="_Ref174151459"/>
      <w:bookmarkStart w:id="9" w:name="_Ref189809556"/>
      <w:r w:rsidRPr="007D11A1">
        <w:t>3GPP RAN1#9</w:t>
      </w:r>
      <w:r>
        <w:t>6</w:t>
      </w:r>
      <w:r w:rsidRPr="007D11A1">
        <w:t>, Chairman’s note.</w:t>
      </w:r>
    </w:p>
    <w:p w14:paraId="0EC95EF5" w14:textId="06E7EE36" w:rsidR="003A7EF3" w:rsidRPr="00443C66" w:rsidRDefault="00D41C77" w:rsidP="00443C66">
      <w:pPr>
        <w:pStyle w:val="Reference"/>
        <w:spacing w:after="160"/>
        <w:jc w:val="left"/>
      </w:pPr>
      <w:r w:rsidRPr="00C11461">
        <w:t>R1-190</w:t>
      </w:r>
      <w:r w:rsidR="00350F94">
        <w:t>6</w:t>
      </w:r>
      <w:r w:rsidR="00443C66">
        <w:t>0</w:t>
      </w:r>
      <w:r w:rsidR="00350F94">
        <w:t>9</w:t>
      </w:r>
      <w:r w:rsidR="00443C66">
        <w:t>1</w:t>
      </w:r>
      <w:r>
        <w:t xml:space="preserve"> - </w:t>
      </w:r>
      <w:r w:rsidR="00443C66" w:rsidRPr="00443C66">
        <w:t>PDCCH Enhancements for NR URLLC</w:t>
      </w:r>
      <w:r w:rsidRPr="00443C66">
        <w:t xml:space="preserve">, Ericsson, </w:t>
      </w:r>
      <w:r w:rsidR="00DC6888" w:rsidRPr="00443C66">
        <w:t>May</w:t>
      </w:r>
      <w:r w:rsidRPr="00443C66">
        <w:t xml:space="preserve"> 2019. </w:t>
      </w:r>
      <w:bookmarkEnd w:id="6"/>
      <w:bookmarkEnd w:id="7"/>
      <w:bookmarkEnd w:id="8"/>
      <w:bookmarkEnd w:id="9"/>
    </w:p>
    <w:p w14:paraId="27000A58" w14:textId="24A6B10B" w:rsidR="00443C66" w:rsidRPr="00DC6888" w:rsidRDefault="00443C66" w:rsidP="00443C66">
      <w:pPr>
        <w:pStyle w:val="Reference"/>
        <w:spacing w:after="160"/>
        <w:jc w:val="left"/>
      </w:pPr>
      <w:r w:rsidRPr="00C11461">
        <w:t>R1-190</w:t>
      </w:r>
      <w:r>
        <w:t xml:space="preserve">6109 - </w:t>
      </w:r>
      <w:r w:rsidR="001663B6" w:rsidRPr="001663B6">
        <w:t>Benefits of Enhanced PDCCH Monitoring Capability for URLLC</w:t>
      </w:r>
      <w:r>
        <w:t>, Ericsson,</w:t>
      </w:r>
      <w:r w:rsidRPr="006E58EA">
        <w:t xml:space="preserve"> </w:t>
      </w:r>
      <w:r>
        <w:t xml:space="preserve">May 2019. </w:t>
      </w:r>
    </w:p>
    <w:p w14:paraId="08F7D702" w14:textId="0AAA551A" w:rsidR="00443C66" w:rsidRPr="00DC6888" w:rsidRDefault="00443C66" w:rsidP="00443C66">
      <w:pPr>
        <w:pStyle w:val="Reference"/>
        <w:numPr>
          <w:ilvl w:val="0"/>
          <w:numId w:val="0"/>
        </w:numPr>
        <w:spacing w:after="160"/>
        <w:ind w:left="567"/>
        <w:jc w:val="left"/>
      </w:pPr>
    </w:p>
    <w:sectPr w:rsidR="00443C66" w:rsidRPr="00DC6888"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CD86E2" w14:textId="77777777" w:rsidR="004F40A3" w:rsidRDefault="004F40A3">
      <w:r>
        <w:separator/>
      </w:r>
    </w:p>
  </w:endnote>
  <w:endnote w:type="continuationSeparator" w:id="0">
    <w:p w14:paraId="5CF4588D" w14:textId="77777777" w:rsidR="004F40A3" w:rsidRDefault="004F40A3">
      <w:r>
        <w:continuationSeparator/>
      </w:r>
    </w:p>
  </w:endnote>
  <w:endnote w:type="continuationNotice" w:id="1">
    <w:p w14:paraId="0C8886D2" w14:textId="77777777" w:rsidR="004F40A3" w:rsidRDefault="004F40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8FACC" w14:textId="77777777" w:rsidR="004F40A3" w:rsidRDefault="004F40A3">
      <w:r>
        <w:separator/>
      </w:r>
    </w:p>
  </w:footnote>
  <w:footnote w:type="continuationSeparator" w:id="0">
    <w:p w14:paraId="6C378428" w14:textId="77777777" w:rsidR="004F40A3" w:rsidRDefault="004F40A3">
      <w:r>
        <w:continuationSeparator/>
      </w:r>
    </w:p>
  </w:footnote>
  <w:footnote w:type="continuationNotice" w:id="1">
    <w:p w14:paraId="2E083F15" w14:textId="77777777" w:rsidR="004F40A3" w:rsidRDefault="004F40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1E2A5D"/>
    <w:multiLevelType w:val="hybridMultilevel"/>
    <w:tmpl w:val="7A98973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BBEA9436"/>
    <w:lvl w:ilvl="0" w:tplc="4BE894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1F1DC2"/>
    <w:multiLevelType w:val="hybridMultilevel"/>
    <w:tmpl w:val="A3F44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10"/>
  </w:num>
  <w:num w:numId="6">
    <w:abstractNumId w:val="17"/>
  </w:num>
  <w:num w:numId="7">
    <w:abstractNumId w:val="22"/>
  </w:num>
  <w:num w:numId="8">
    <w:abstractNumId w:val="11"/>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3"/>
  </w:num>
  <w:num w:numId="17">
    <w:abstractNumId w:val="7"/>
  </w:num>
  <w:num w:numId="18">
    <w:abstractNumId w:val="8"/>
  </w:num>
  <w:num w:numId="19">
    <w:abstractNumId w:val="5"/>
  </w:num>
  <w:num w:numId="20">
    <w:abstractNumId w:val="26"/>
  </w:num>
  <w:num w:numId="21">
    <w:abstractNumId w:val="12"/>
  </w:num>
  <w:num w:numId="22">
    <w:abstractNumId w:val="24"/>
  </w:num>
  <w:num w:numId="23">
    <w:abstractNumId w:val="13"/>
  </w:num>
  <w:num w:numId="24">
    <w:abstractNumId w:val="6"/>
  </w:num>
  <w:num w:numId="25">
    <w:abstractNumId w:val="4"/>
  </w:num>
  <w:num w:numId="26">
    <w:abstractNumId w:val="25"/>
  </w:num>
  <w:num w:numId="2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08E4"/>
    <w:rsid w:val="00002A37"/>
    <w:rsid w:val="0000564C"/>
    <w:rsid w:val="00006446"/>
    <w:rsid w:val="00006896"/>
    <w:rsid w:val="00007CDC"/>
    <w:rsid w:val="00011B28"/>
    <w:rsid w:val="00015D15"/>
    <w:rsid w:val="0002564D"/>
    <w:rsid w:val="00025ECA"/>
    <w:rsid w:val="000263F2"/>
    <w:rsid w:val="000325B8"/>
    <w:rsid w:val="00034C15"/>
    <w:rsid w:val="00036BA1"/>
    <w:rsid w:val="00037892"/>
    <w:rsid w:val="00040F10"/>
    <w:rsid w:val="000422E2"/>
    <w:rsid w:val="00042F22"/>
    <w:rsid w:val="000444EF"/>
    <w:rsid w:val="00044F46"/>
    <w:rsid w:val="00052A07"/>
    <w:rsid w:val="000534E3"/>
    <w:rsid w:val="0005606A"/>
    <w:rsid w:val="00057117"/>
    <w:rsid w:val="00060C04"/>
    <w:rsid w:val="000616E7"/>
    <w:rsid w:val="0006487E"/>
    <w:rsid w:val="00065E1A"/>
    <w:rsid w:val="00077E5F"/>
    <w:rsid w:val="0008036A"/>
    <w:rsid w:val="00081AE6"/>
    <w:rsid w:val="00083DC7"/>
    <w:rsid w:val="000855EB"/>
    <w:rsid w:val="00085B52"/>
    <w:rsid w:val="000866F2"/>
    <w:rsid w:val="0009009F"/>
    <w:rsid w:val="00090AEE"/>
    <w:rsid w:val="00091557"/>
    <w:rsid w:val="000924C1"/>
    <w:rsid w:val="000924F0"/>
    <w:rsid w:val="00093474"/>
    <w:rsid w:val="0009510F"/>
    <w:rsid w:val="000A1B7B"/>
    <w:rsid w:val="000A3AFA"/>
    <w:rsid w:val="000A5426"/>
    <w:rsid w:val="000A56F2"/>
    <w:rsid w:val="000B1305"/>
    <w:rsid w:val="000B2719"/>
    <w:rsid w:val="000B3A8F"/>
    <w:rsid w:val="000B4AB9"/>
    <w:rsid w:val="000B58C3"/>
    <w:rsid w:val="000B61E9"/>
    <w:rsid w:val="000B6CC2"/>
    <w:rsid w:val="000B701D"/>
    <w:rsid w:val="000B7CFB"/>
    <w:rsid w:val="000C07CD"/>
    <w:rsid w:val="000C165A"/>
    <w:rsid w:val="000C2E19"/>
    <w:rsid w:val="000D0D07"/>
    <w:rsid w:val="000D4797"/>
    <w:rsid w:val="000D5E27"/>
    <w:rsid w:val="000E0527"/>
    <w:rsid w:val="000E0DE3"/>
    <w:rsid w:val="000E1E92"/>
    <w:rsid w:val="000E340E"/>
    <w:rsid w:val="000F06D6"/>
    <w:rsid w:val="000F0EB1"/>
    <w:rsid w:val="000F1106"/>
    <w:rsid w:val="000F23C8"/>
    <w:rsid w:val="000F3BE9"/>
    <w:rsid w:val="000F3F6C"/>
    <w:rsid w:val="000F6DF3"/>
    <w:rsid w:val="000F6EB6"/>
    <w:rsid w:val="001005FF"/>
    <w:rsid w:val="0010498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663B6"/>
    <w:rsid w:val="00173A8E"/>
    <w:rsid w:val="0017502C"/>
    <w:rsid w:val="0018143F"/>
    <w:rsid w:val="00181E87"/>
    <w:rsid w:val="00181FF8"/>
    <w:rsid w:val="00190AC1"/>
    <w:rsid w:val="0019341A"/>
    <w:rsid w:val="00197DF9"/>
    <w:rsid w:val="001A1987"/>
    <w:rsid w:val="001A2564"/>
    <w:rsid w:val="001A296E"/>
    <w:rsid w:val="001A6173"/>
    <w:rsid w:val="001A6C5F"/>
    <w:rsid w:val="001A6CBA"/>
    <w:rsid w:val="001B0D97"/>
    <w:rsid w:val="001B2C46"/>
    <w:rsid w:val="001B5A5D"/>
    <w:rsid w:val="001C1CE5"/>
    <w:rsid w:val="001C3D2A"/>
    <w:rsid w:val="001D51BA"/>
    <w:rsid w:val="001D53E7"/>
    <w:rsid w:val="001D6342"/>
    <w:rsid w:val="001D6D53"/>
    <w:rsid w:val="001E0E03"/>
    <w:rsid w:val="001E4AB9"/>
    <w:rsid w:val="001E4D03"/>
    <w:rsid w:val="001E58E2"/>
    <w:rsid w:val="001E7AED"/>
    <w:rsid w:val="001F3916"/>
    <w:rsid w:val="001F54C5"/>
    <w:rsid w:val="001F662C"/>
    <w:rsid w:val="001F7074"/>
    <w:rsid w:val="00200490"/>
    <w:rsid w:val="00201F3A"/>
    <w:rsid w:val="002034FA"/>
    <w:rsid w:val="00203F96"/>
    <w:rsid w:val="002069B2"/>
    <w:rsid w:val="00207121"/>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37BB4"/>
    <w:rsid w:val="00241559"/>
    <w:rsid w:val="00241D80"/>
    <w:rsid w:val="002435B3"/>
    <w:rsid w:val="00243DF6"/>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1D5A"/>
    <w:rsid w:val="00292EB7"/>
    <w:rsid w:val="00295ABF"/>
    <w:rsid w:val="00296227"/>
    <w:rsid w:val="00296F44"/>
    <w:rsid w:val="0029777D"/>
    <w:rsid w:val="002A055E"/>
    <w:rsid w:val="002A1D4E"/>
    <w:rsid w:val="002A2869"/>
    <w:rsid w:val="002A4DF5"/>
    <w:rsid w:val="002B22C2"/>
    <w:rsid w:val="002B24D6"/>
    <w:rsid w:val="002C41E6"/>
    <w:rsid w:val="002D071A"/>
    <w:rsid w:val="002D31C1"/>
    <w:rsid w:val="002D34B2"/>
    <w:rsid w:val="002D48B0"/>
    <w:rsid w:val="002D5B37"/>
    <w:rsid w:val="002D7637"/>
    <w:rsid w:val="002E17F2"/>
    <w:rsid w:val="002E34D9"/>
    <w:rsid w:val="002E39B9"/>
    <w:rsid w:val="002E7CAE"/>
    <w:rsid w:val="002F2771"/>
    <w:rsid w:val="002F3630"/>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018F"/>
    <w:rsid w:val="00350F94"/>
    <w:rsid w:val="00357380"/>
    <w:rsid w:val="00357416"/>
    <w:rsid w:val="003602D9"/>
    <w:rsid w:val="003604CE"/>
    <w:rsid w:val="00361802"/>
    <w:rsid w:val="00370E47"/>
    <w:rsid w:val="003742AC"/>
    <w:rsid w:val="00377CE1"/>
    <w:rsid w:val="00385BF0"/>
    <w:rsid w:val="00392890"/>
    <w:rsid w:val="003939FF"/>
    <w:rsid w:val="00396D6C"/>
    <w:rsid w:val="003A2223"/>
    <w:rsid w:val="003A2A0F"/>
    <w:rsid w:val="003A45A1"/>
    <w:rsid w:val="003A5B0A"/>
    <w:rsid w:val="003A6BAC"/>
    <w:rsid w:val="003A70A4"/>
    <w:rsid w:val="003A7EF3"/>
    <w:rsid w:val="003B159C"/>
    <w:rsid w:val="003B369F"/>
    <w:rsid w:val="003B36A3"/>
    <w:rsid w:val="003B64BB"/>
    <w:rsid w:val="003B6D6B"/>
    <w:rsid w:val="003B7FE5"/>
    <w:rsid w:val="003C11C8"/>
    <w:rsid w:val="003C2702"/>
    <w:rsid w:val="003C6D12"/>
    <w:rsid w:val="003C7806"/>
    <w:rsid w:val="003D109F"/>
    <w:rsid w:val="003D2478"/>
    <w:rsid w:val="003D3C45"/>
    <w:rsid w:val="003D5B1F"/>
    <w:rsid w:val="003E01B2"/>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135"/>
    <w:rsid w:val="0041263E"/>
    <w:rsid w:val="00413AAC"/>
    <w:rsid w:val="00413E92"/>
    <w:rsid w:val="00421105"/>
    <w:rsid w:val="00422AA4"/>
    <w:rsid w:val="004242F4"/>
    <w:rsid w:val="00427248"/>
    <w:rsid w:val="00437447"/>
    <w:rsid w:val="004409B7"/>
    <w:rsid w:val="00440E80"/>
    <w:rsid w:val="00441A92"/>
    <w:rsid w:val="004431DC"/>
    <w:rsid w:val="00443C66"/>
    <w:rsid w:val="00444F56"/>
    <w:rsid w:val="00446488"/>
    <w:rsid w:val="004517AA"/>
    <w:rsid w:val="00452CAC"/>
    <w:rsid w:val="00457565"/>
    <w:rsid w:val="00457B71"/>
    <w:rsid w:val="004619BB"/>
    <w:rsid w:val="004669E2"/>
    <w:rsid w:val="0047054C"/>
    <w:rsid w:val="00470C31"/>
    <w:rsid w:val="00471DE0"/>
    <w:rsid w:val="004734D0"/>
    <w:rsid w:val="0047556B"/>
    <w:rsid w:val="00477768"/>
    <w:rsid w:val="00492BC5"/>
    <w:rsid w:val="004964F1"/>
    <w:rsid w:val="004A16BC"/>
    <w:rsid w:val="004A2B94"/>
    <w:rsid w:val="004B415D"/>
    <w:rsid w:val="004B6F6A"/>
    <w:rsid w:val="004B7C0C"/>
    <w:rsid w:val="004C3898"/>
    <w:rsid w:val="004C3B87"/>
    <w:rsid w:val="004C7125"/>
    <w:rsid w:val="004D36B1"/>
    <w:rsid w:val="004D7EBD"/>
    <w:rsid w:val="004E2680"/>
    <w:rsid w:val="004E28F9"/>
    <w:rsid w:val="004E462E"/>
    <w:rsid w:val="004E56DC"/>
    <w:rsid w:val="004E76F4"/>
    <w:rsid w:val="004F0B4E"/>
    <w:rsid w:val="004F0B6C"/>
    <w:rsid w:val="004F2078"/>
    <w:rsid w:val="004F21D8"/>
    <w:rsid w:val="004F40A3"/>
    <w:rsid w:val="004F4DA3"/>
    <w:rsid w:val="005027CD"/>
    <w:rsid w:val="00506557"/>
    <w:rsid w:val="0050677A"/>
    <w:rsid w:val="005108D8"/>
    <w:rsid w:val="005116F9"/>
    <w:rsid w:val="005153A7"/>
    <w:rsid w:val="005219CF"/>
    <w:rsid w:val="005258C4"/>
    <w:rsid w:val="005311A2"/>
    <w:rsid w:val="00534B59"/>
    <w:rsid w:val="00536759"/>
    <w:rsid w:val="00537C62"/>
    <w:rsid w:val="00546970"/>
    <w:rsid w:val="00554148"/>
    <w:rsid w:val="00554E19"/>
    <w:rsid w:val="0055639A"/>
    <w:rsid w:val="0056121F"/>
    <w:rsid w:val="00572505"/>
    <w:rsid w:val="00582809"/>
    <w:rsid w:val="005860D6"/>
    <w:rsid w:val="0058798C"/>
    <w:rsid w:val="005900FA"/>
    <w:rsid w:val="005935A4"/>
    <w:rsid w:val="005948C2"/>
    <w:rsid w:val="00595DCA"/>
    <w:rsid w:val="0059779B"/>
    <w:rsid w:val="005A209A"/>
    <w:rsid w:val="005A4E51"/>
    <w:rsid w:val="005A662D"/>
    <w:rsid w:val="005B1409"/>
    <w:rsid w:val="005B35D7"/>
    <w:rsid w:val="005B392A"/>
    <w:rsid w:val="005B3AA3"/>
    <w:rsid w:val="005B6F83"/>
    <w:rsid w:val="005C17D5"/>
    <w:rsid w:val="005C74FB"/>
    <w:rsid w:val="005D1602"/>
    <w:rsid w:val="005E385F"/>
    <w:rsid w:val="005E5B81"/>
    <w:rsid w:val="005F2CB1"/>
    <w:rsid w:val="005F3025"/>
    <w:rsid w:val="005F618C"/>
    <w:rsid w:val="005F70BD"/>
    <w:rsid w:val="00601A42"/>
    <w:rsid w:val="0060283C"/>
    <w:rsid w:val="006043F5"/>
    <w:rsid w:val="00604F14"/>
    <w:rsid w:val="00611B83"/>
    <w:rsid w:val="00613257"/>
    <w:rsid w:val="00616C97"/>
    <w:rsid w:val="00620A71"/>
    <w:rsid w:val="00620D80"/>
    <w:rsid w:val="006234A6"/>
    <w:rsid w:val="00630001"/>
    <w:rsid w:val="006311B3"/>
    <w:rsid w:val="0063284C"/>
    <w:rsid w:val="00634E0A"/>
    <w:rsid w:val="00636398"/>
    <w:rsid w:val="006368D3"/>
    <w:rsid w:val="006377EC"/>
    <w:rsid w:val="0064151F"/>
    <w:rsid w:val="00641533"/>
    <w:rsid w:val="0064208D"/>
    <w:rsid w:val="00643475"/>
    <w:rsid w:val="0064396A"/>
    <w:rsid w:val="0064624E"/>
    <w:rsid w:val="00647BAD"/>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984"/>
    <w:rsid w:val="006741F2"/>
    <w:rsid w:val="00674CC3"/>
    <w:rsid w:val="00675C72"/>
    <w:rsid w:val="0067642F"/>
    <w:rsid w:val="006771F9"/>
    <w:rsid w:val="006776D7"/>
    <w:rsid w:val="00681003"/>
    <w:rsid w:val="006817C9"/>
    <w:rsid w:val="00683ECE"/>
    <w:rsid w:val="00695FC2"/>
    <w:rsid w:val="00696949"/>
    <w:rsid w:val="00697052"/>
    <w:rsid w:val="006A46FB"/>
    <w:rsid w:val="006A5E28"/>
    <w:rsid w:val="006A697B"/>
    <w:rsid w:val="006A7AFF"/>
    <w:rsid w:val="006B08CC"/>
    <w:rsid w:val="006B1816"/>
    <w:rsid w:val="006B2099"/>
    <w:rsid w:val="006B50CF"/>
    <w:rsid w:val="006B54D3"/>
    <w:rsid w:val="006C03B8"/>
    <w:rsid w:val="006C05CF"/>
    <w:rsid w:val="006C1084"/>
    <w:rsid w:val="006C5EC9"/>
    <w:rsid w:val="006C6059"/>
    <w:rsid w:val="006C63FC"/>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29A9"/>
    <w:rsid w:val="00732B7D"/>
    <w:rsid w:val="007348B1"/>
    <w:rsid w:val="007362A6"/>
    <w:rsid w:val="00736D7D"/>
    <w:rsid w:val="00740E58"/>
    <w:rsid w:val="007445A0"/>
    <w:rsid w:val="0074524B"/>
    <w:rsid w:val="00747D8B"/>
    <w:rsid w:val="00751228"/>
    <w:rsid w:val="007513A8"/>
    <w:rsid w:val="007571E1"/>
    <w:rsid w:val="007604B2"/>
    <w:rsid w:val="00765281"/>
    <w:rsid w:val="00766BAD"/>
    <w:rsid w:val="007729A2"/>
    <w:rsid w:val="007755F2"/>
    <w:rsid w:val="00776971"/>
    <w:rsid w:val="00780A80"/>
    <w:rsid w:val="0078177E"/>
    <w:rsid w:val="0078304C"/>
    <w:rsid w:val="00783673"/>
    <w:rsid w:val="00785490"/>
    <w:rsid w:val="007867D6"/>
    <w:rsid w:val="00791926"/>
    <w:rsid w:val="007925EA"/>
    <w:rsid w:val="00793CD8"/>
    <w:rsid w:val="00795C92"/>
    <w:rsid w:val="00796231"/>
    <w:rsid w:val="007A1CB3"/>
    <w:rsid w:val="007A1DF8"/>
    <w:rsid w:val="007A306F"/>
    <w:rsid w:val="007A43A6"/>
    <w:rsid w:val="007A58A6"/>
    <w:rsid w:val="007A7B94"/>
    <w:rsid w:val="007B3D2D"/>
    <w:rsid w:val="007B50AE"/>
    <w:rsid w:val="007B51DF"/>
    <w:rsid w:val="007C028D"/>
    <w:rsid w:val="007C05DD"/>
    <w:rsid w:val="007C3D18"/>
    <w:rsid w:val="007C60BF"/>
    <w:rsid w:val="007C6A07"/>
    <w:rsid w:val="007C75A1"/>
    <w:rsid w:val="007C77A5"/>
    <w:rsid w:val="007D04E5"/>
    <w:rsid w:val="007D550C"/>
    <w:rsid w:val="007D5901"/>
    <w:rsid w:val="007D7526"/>
    <w:rsid w:val="007E4610"/>
    <w:rsid w:val="007E4715"/>
    <w:rsid w:val="007E505B"/>
    <w:rsid w:val="007E7091"/>
    <w:rsid w:val="007F1EA1"/>
    <w:rsid w:val="007F48B0"/>
    <w:rsid w:val="008001E4"/>
    <w:rsid w:val="00802E1F"/>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68FF"/>
    <w:rsid w:val="008900D3"/>
    <w:rsid w:val="008941E3"/>
    <w:rsid w:val="00894A88"/>
    <w:rsid w:val="00895386"/>
    <w:rsid w:val="008A21FF"/>
    <w:rsid w:val="008A2CE2"/>
    <w:rsid w:val="008A30AC"/>
    <w:rsid w:val="008A44B8"/>
    <w:rsid w:val="008A51A8"/>
    <w:rsid w:val="008A54C7"/>
    <w:rsid w:val="008A77D8"/>
    <w:rsid w:val="008B0483"/>
    <w:rsid w:val="008B120C"/>
    <w:rsid w:val="008B39CF"/>
    <w:rsid w:val="008B51A0"/>
    <w:rsid w:val="008B592A"/>
    <w:rsid w:val="008B6438"/>
    <w:rsid w:val="008B6E1A"/>
    <w:rsid w:val="008B7B5C"/>
    <w:rsid w:val="008C0C99"/>
    <w:rsid w:val="008C2017"/>
    <w:rsid w:val="008C4958"/>
    <w:rsid w:val="008C4BAA"/>
    <w:rsid w:val="008C6AE8"/>
    <w:rsid w:val="008C7573"/>
    <w:rsid w:val="008D00A5"/>
    <w:rsid w:val="008D34F1"/>
    <w:rsid w:val="008D39D8"/>
    <w:rsid w:val="008D6D1A"/>
    <w:rsid w:val="008D7CE0"/>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5BBE"/>
    <w:rsid w:val="00916079"/>
    <w:rsid w:val="00917CE9"/>
    <w:rsid w:val="00920BF2"/>
    <w:rsid w:val="00922010"/>
    <w:rsid w:val="00922170"/>
    <w:rsid w:val="00931BD9"/>
    <w:rsid w:val="009368F3"/>
    <w:rsid w:val="00941636"/>
    <w:rsid w:val="00943742"/>
    <w:rsid w:val="009451C5"/>
    <w:rsid w:val="00945C05"/>
    <w:rsid w:val="00946945"/>
    <w:rsid w:val="00947713"/>
    <w:rsid w:val="00950DE7"/>
    <w:rsid w:val="00951360"/>
    <w:rsid w:val="00953920"/>
    <w:rsid w:val="00953D47"/>
    <w:rsid w:val="0095681E"/>
    <w:rsid w:val="009572D4"/>
    <w:rsid w:val="00961921"/>
    <w:rsid w:val="0096430A"/>
    <w:rsid w:val="009645D5"/>
    <w:rsid w:val="0096554B"/>
    <w:rsid w:val="0096584A"/>
    <w:rsid w:val="009717B4"/>
    <w:rsid w:val="00971C02"/>
    <w:rsid w:val="00971F08"/>
    <w:rsid w:val="0097603D"/>
    <w:rsid w:val="009765BA"/>
    <w:rsid w:val="00976949"/>
    <w:rsid w:val="00980477"/>
    <w:rsid w:val="00985253"/>
    <w:rsid w:val="009853B3"/>
    <w:rsid w:val="00985FB5"/>
    <w:rsid w:val="00990630"/>
    <w:rsid w:val="00990651"/>
    <w:rsid w:val="00991761"/>
    <w:rsid w:val="00991CB5"/>
    <w:rsid w:val="00994DCA"/>
    <w:rsid w:val="009960EC"/>
    <w:rsid w:val="009970DD"/>
    <w:rsid w:val="00997ED3"/>
    <w:rsid w:val="009A0FBA"/>
    <w:rsid w:val="009A1601"/>
    <w:rsid w:val="009A3BB6"/>
    <w:rsid w:val="009A462D"/>
    <w:rsid w:val="009A55C8"/>
    <w:rsid w:val="009A5CBA"/>
    <w:rsid w:val="009B1F30"/>
    <w:rsid w:val="009B3AC2"/>
    <w:rsid w:val="009B4DF4"/>
    <w:rsid w:val="009B564E"/>
    <w:rsid w:val="009B5AD7"/>
    <w:rsid w:val="009B6C2A"/>
    <w:rsid w:val="009B7E87"/>
    <w:rsid w:val="009C0169"/>
    <w:rsid w:val="009C403E"/>
    <w:rsid w:val="009C4DFB"/>
    <w:rsid w:val="009D0A0E"/>
    <w:rsid w:val="009D4FF0"/>
    <w:rsid w:val="009D703C"/>
    <w:rsid w:val="009D718F"/>
    <w:rsid w:val="009E068F"/>
    <w:rsid w:val="009E1165"/>
    <w:rsid w:val="009E14E0"/>
    <w:rsid w:val="009E21EA"/>
    <w:rsid w:val="009E35DB"/>
    <w:rsid w:val="009E47A3"/>
    <w:rsid w:val="009F08F3"/>
    <w:rsid w:val="009F344F"/>
    <w:rsid w:val="00A031D8"/>
    <w:rsid w:val="00A048A8"/>
    <w:rsid w:val="00A04F49"/>
    <w:rsid w:val="00A13E54"/>
    <w:rsid w:val="00A17F63"/>
    <w:rsid w:val="00A2193B"/>
    <w:rsid w:val="00A21B3C"/>
    <w:rsid w:val="00A2351A"/>
    <w:rsid w:val="00A264A9"/>
    <w:rsid w:val="00A26DCF"/>
    <w:rsid w:val="00A27785"/>
    <w:rsid w:val="00A30187"/>
    <w:rsid w:val="00A3448A"/>
    <w:rsid w:val="00A36297"/>
    <w:rsid w:val="00A41E2B"/>
    <w:rsid w:val="00A45B74"/>
    <w:rsid w:val="00A52E1D"/>
    <w:rsid w:val="00A54C6B"/>
    <w:rsid w:val="00A61499"/>
    <w:rsid w:val="00A62A77"/>
    <w:rsid w:val="00A63483"/>
    <w:rsid w:val="00A63D14"/>
    <w:rsid w:val="00A657D7"/>
    <w:rsid w:val="00A660AC"/>
    <w:rsid w:val="00A67E6C"/>
    <w:rsid w:val="00A71B99"/>
    <w:rsid w:val="00A7383C"/>
    <w:rsid w:val="00A739D0"/>
    <w:rsid w:val="00A761D4"/>
    <w:rsid w:val="00A77EC4"/>
    <w:rsid w:val="00A92879"/>
    <w:rsid w:val="00A9442A"/>
    <w:rsid w:val="00AA016F"/>
    <w:rsid w:val="00AA1ED6"/>
    <w:rsid w:val="00AA51D6"/>
    <w:rsid w:val="00AA60CD"/>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39DF"/>
    <w:rsid w:val="00B05084"/>
    <w:rsid w:val="00B157F9"/>
    <w:rsid w:val="00B20256"/>
    <w:rsid w:val="00B20D09"/>
    <w:rsid w:val="00B2105E"/>
    <w:rsid w:val="00B22226"/>
    <w:rsid w:val="00B2763F"/>
    <w:rsid w:val="00B27AAC"/>
    <w:rsid w:val="00B30929"/>
    <w:rsid w:val="00B372AA"/>
    <w:rsid w:val="00B40445"/>
    <w:rsid w:val="00B409E0"/>
    <w:rsid w:val="00B41888"/>
    <w:rsid w:val="00B43752"/>
    <w:rsid w:val="00B45A52"/>
    <w:rsid w:val="00B46175"/>
    <w:rsid w:val="00B4680D"/>
    <w:rsid w:val="00B548B7"/>
    <w:rsid w:val="00B664C7"/>
    <w:rsid w:val="00B739F6"/>
    <w:rsid w:val="00B81A6C"/>
    <w:rsid w:val="00B85DE5"/>
    <w:rsid w:val="00B90F73"/>
    <w:rsid w:val="00B93B59"/>
    <w:rsid w:val="00B9406A"/>
    <w:rsid w:val="00BA2280"/>
    <w:rsid w:val="00BA2A08"/>
    <w:rsid w:val="00BA4193"/>
    <w:rsid w:val="00BA56D2"/>
    <w:rsid w:val="00BA76E0"/>
    <w:rsid w:val="00BB2A25"/>
    <w:rsid w:val="00BB51E9"/>
    <w:rsid w:val="00BB67EB"/>
    <w:rsid w:val="00BC0FDC"/>
    <w:rsid w:val="00BC3053"/>
    <w:rsid w:val="00BC4D2E"/>
    <w:rsid w:val="00BC5BF1"/>
    <w:rsid w:val="00BD48AC"/>
    <w:rsid w:val="00BD49D8"/>
    <w:rsid w:val="00BD52AB"/>
    <w:rsid w:val="00BD5F1A"/>
    <w:rsid w:val="00BE1234"/>
    <w:rsid w:val="00BE2FA6"/>
    <w:rsid w:val="00BE333F"/>
    <w:rsid w:val="00BE7406"/>
    <w:rsid w:val="00BE7603"/>
    <w:rsid w:val="00BF3279"/>
    <w:rsid w:val="00BF74C7"/>
    <w:rsid w:val="00C015F1"/>
    <w:rsid w:val="00C01F33"/>
    <w:rsid w:val="00C02CC6"/>
    <w:rsid w:val="00C03449"/>
    <w:rsid w:val="00C040F7"/>
    <w:rsid w:val="00C044AB"/>
    <w:rsid w:val="00C05706"/>
    <w:rsid w:val="00C06CD4"/>
    <w:rsid w:val="00C07377"/>
    <w:rsid w:val="00C10478"/>
    <w:rsid w:val="00C12107"/>
    <w:rsid w:val="00C14D4B"/>
    <w:rsid w:val="00C154BB"/>
    <w:rsid w:val="00C279B5"/>
    <w:rsid w:val="00C27C45"/>
    <w:rsid w:val="00C34971"/>
    <w:rsid w:val="00C3719D"/>
    <w:rsid w:val="00C37CB2"/>
    <w:rsid w:val="00C44384"/>
    <w:rsid w:val="00C4636E"/>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031C"/>
    <w:rsid w:val="00CA1ED8"/>
    <w:rsid w:val="00CA4E82"/>
    <w:rsid w:val="00CB1F63"/>
    <w:rsid w:val="00CB4B12"/>
    <w:rsid w:val="00CB7170"/>
    <w:rsid w:val="00CB7EDC"/>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B33"/>
    <w:rsid w:val="00D0680A"/>
    <w:rsid w:val="00D10249"/>
    <w:rsid w:val="00D115C3"/>
    <w:rsid w:val="00D11897"/>
    <w:rsid w:val="00D13135"/>
    <w:rsid w:val="00D13E4E"/>
    <w:rsid w:val="00D239A7"/>
    <w:rsid w:val="00D23F47"/>
    <w:rsid w:val="00D36E71"/>
    <w:rsid w:val="00D37D87"/>
    <w:rsid w:val="00D40B33"/>
    <w:rsid w:val="00D41C77"/>
    <w:rsid w:val="00D4318F"/>
    <w:rsid w:val="00D438BF"/>
    <w:rsid w:val="00D440F8"/>
    <w:rsid w:val="00D546FF"/>
    <w:rsid w:val="00D556D1"/>
    <w:rsid w:val="00D55AD5"/>
    <w:rsid w:val="00D576CA"/>
    <w:rsid w:val="00D61AF5"/>
    <w:rsid w:val="00D652B5"/>
    <w:rsid w:val="00D66155"/>
    <w:rsid w:val="00D66B8F"/>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B5E99"/>
    <w:rsid w:val="00DC2D36"/>
    <w:rsid w:val="00DC53EF"/>
    <w:rsid w:val="00DC6888"/>
    <w:rsid w:val="00DE5608"/>
    <w:rsid w:val="00DE58D0"/>
    <w:rsid w:val="00DE634C"/>
    <w:rsid w:val="00DE654F"/>
    <w:rsid w:val="00DF0B6E"/>
    <w:rsid w:val="00DF15E0"/>
    <w:rsid w:val="00DF1BE5"/>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886"/>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CF4"/>
    <w:rsid w:val="00E93FFE"/>
    <w:rsid w:val="00E94F8A"/>
    <w:rsid w:val="00EA1409"/>
    <w:rsid w:val="00EA5239"/>
    <w:rsid w:val="00EA7A41"/>
    <w:rsid w:val="00EB077B"/>
    <w:rsid w:val="00EB32A8"/>
    <w:rsid w:val="00EB4EA2"/>
    <w:rsid w:val="00EB53BB"/>
    <w:rsid w:val="00EC24D5"/>
    <w:rsid w:val="00EC27C6"/>
    <w:rsid w:val="00EC4207"/>
    <w:rsid w:val="00EC5653"/>
    <w:rsid w:val="00EC71CE"/>
    <w:rsid w:val="00ED1006"/>
    <w:rsid w:val="00ED236C"/>
    <w:rsid w:val="00EF18FE"/>
    <w:rsid w:val="00EF2204"/>
    <w:rsid w:val="00EF5787"/>
    <w:rsid w:val="00EF60D0"/>
    <w:rsid w:val="00F0528D"/>
    <w:rsid w:val="00F06C67"/>
    <w:rsid w:val="00F06DFD"/>
    <w:rsid w:val="00F071D1"/>
    <w:rsid w:val="00F07533"/>
    <w:rsid w:val="00F10629"/>
    <w:rsid w:val="00F14284"/>
    <w:rsid w:val="00F15FA5"/>
    <w:rsid w:val="00F209B7"/>
    <w:rsid w:val="00F2119B"/>
    <w:rsid w:val="00F2376F"/>
    <w:rsid w:val="00F243D8"/>
    <w:rsid w:val="00F30828"/>
    <w:rsid w:val="00F313D6"/>
    <w:rsid w:val="00F31EA0"/>
    <w:rsid w:val="00F365FD"/>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777E8"/>
    <w:rsid w:val="00F804BE"/>
    <w:rsid w:val="00F80559"/>
    <w:rsid w:val="00F817CE"/>
    <w:rsid w:val="00F8456C"/>
    <w:rsid w:val="00F84907"/>
    <w:rsid w:val="00F859D8"/>
    <w:rsid w:val="00F868F5"/>
    <w:rsid w:val="00F9056A"/>
    <w:rsid w:val="00F90F8D"/>
    <w:rsid w:val="00F92782"/>
    <w:rsid w:val="00F93AA9"/>
    <w:rsid w:val="00F93CE6"/>
    <w:rsid w:val="00F96985"/>
    <w:rsid w:val="00F97838"/>
    <w:rsid w:val="00FA2BB3"/>
    <w:rsid w:val="00FA521A"/>
    <w:rsid w:val="00FB4C80"/>
    <w:rsid w:val="00FB6A6A"/>
    <w:rsid w:val="00FB6BC9"/>
    <w:rsid w:val="00FC7429"/>
    <w:rsid w:val="00FD07F6"/>
    <w:rsid w:val="00FD0C37"/>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CBB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6B8F"/>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EA14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1409"/>
    <w:pPr>
      <w:pBdr>
        <w:top w:val="none" w:sz="0" w:space="0" w:color="auto"/>
      </w:pBdr>
      <w:spacing w:before="180"/>
      <w:outlineLvl w:val="1"/>
    </w:pPr>
    <w:rPr>
      <w:sz w:val="32"/>
    </w:rPr>
  </w:style>
  <w:style w:type="paragraph" w:styleId="Heading3">
    <w:name w:val="heading 3"/>
    <w:basedOn w:val="Heading2"/>
    <w:next w:val="Normal"/>
    <w:link w:val="Heading3Char"/>
    <w:qFormat/>
    <w:rsid w:val="00EA1409"/>
    <w:pPr>
      <w:spacing w:before="120"/>
      <w:outlineLvl w:val="2"/>
    </w:pPr>
    <w:rPr>
      <w:sz w:val="28"/>
    </w:rPr>
  </w:style>
  <w:style w:type="paragraph" w:styleId="Heading4">
    <w:name w:val="heading 4"/>
    <w:basedOn w:val="Heading3"/>
    <w:next w:val="Normal"/>
    <w:link w:val="Heading4Char"/>
    <w:qFormat/>
    <w:rsid w:val="00EA1409"/>
    <w:pPr>
      <w:ind w:left="1418" w:hanging="1418"/>
      <w:outlineLvl w:val="3"/>
    </w:pPr>
    <w:rPr>
      <w:sz w:val="24"/>
    </w:rPr>
  </w:style>
  <w:style w:type="paragraph" w:styleId="Heading5">
    <w:name w:val="heading 5"/>
    <w:basedOn w:val="Heading4"/>
    <w:next w:val="Normal"/>
    <w:link w:val="Heading5Char"/>
    <w:qFormat/>
    <w:rsid w:val="00EA1409"/>
    <w:pPr>
      <w:ind w:left="1701" w:hanging="1701"/>
      <w:outlineLvl w:val="4"/>
    </w:pPr>
    <w:rPr>
      <w:sz w:val="22"/>
    </w:rPr>
  </w:style>
  <w:style w:type="paragraph" w:styleId="Heading6">
    <w:name w:val="heading 6"/>
    <w:basedOn w:val="H6"/>
    <w:next w:val="Normal"/>
    <w:link w:val="Heading6Char"/>
    <w:qFormat/>
    <w:rsid w:val="00EA1409"/>
    <w:pPr>
      <w:outlineLvl w:val="5"/>
    </w:pPr>
  </w:style>
  <w:style w:type="paragraph" w:styleId="Heading7">
    <w:name w:val="heading 7"/>
    <w:basedOn w:val="H6"/>
    <w:next w:val="Normal"/>
    <w:link w:val="Heading7Char"/>
    <w:qFormat/>
    <w:rsid w:val="00EA1409"/>
    <w:pPr>
      <w:outlineLvl w:val="6"/>
    </w:pPr>
  </w:style>
  <w:style w:type="paragraph" w:styleId="Heading8">
    <w:name w:val="heading 8"/>
    <w:basedOn w:val="Heading1"/>
    <w:next w:val="Normal"/>
    <w:link w:val="Heading8Char"/>
    <w:qFormat/>
    <w:rsid w:val="00EA1409"/>
    <w:pPr>
      <w:ind w:left="0" w:firstLine="0"/>
      <w:outlineLvl w:val="7"/>
    </w:pPr>
  </w:style>
  <w:style w:type="paragraph" w:styleId="Heading9">
    <w:name w:val="heading 9"/>
    <w:basedOn w:val="Heading8"/>
    <w:next w:val="Normal"/>
    <w:link w:val="Heading9Char"/>
    <w:qFormat/>
    <w:rsid w:val="00EA1409"/>
    <w:pPr>
      <w:outlineLvl w:val="8"/>
    </w:pPr>
  </w:style>
  <w:style w:type="character" w:default="1" w:styleId="DefaultParagraphFont">
    <w:name w:val="Default Paragraph Font"/>
    <w:uiPriority w:val="1"/>
    <w:semiHidden/>
    <w:unhideWhenUsed/>
    <w:rsid w:val="00D66B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6B8F"/>
  </w:style>
  <w:style w:type="paragraph" w:styleId="TOC8">
    <w:name w:val="toc 8"/>
    <w:basedOn w:val="TOC1"/>
    <w:uiPriority w:val="39"/>
    <w:rsid w:val="00EA1409"/>
    <w:pPr>
      <w:spacing w:before="180"/>
      <w:ind w:left="2693" w:hanging="2693"/>
    </w:pPr>
    <w:rPr>
      <w:b/>
    </w:rPr>
  </w:style>
  <w:style w:type="paragraph" w:styleId="TOC1">
    <w:name w:val="toc 1"/>
    <w:uiPriority w:val="39"/>
    <w:rsid w:val="00EA14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A1409"/>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99"/>
    <w:qFormat/>
    <w:rsid w:val="00EA1409"/>
    <w:pPr>
      <w:spacing w:before="120" w:after="120"/>
    </w:pPr>
    <w:rPr>
      <w:b/>
      <w:lang w:eastAsia="en-GB"/>
    </w:rPr>
  </w:style>
  <w:style w:type="paragraph" w:styleId="TOC5">
    <w:name w:val="toc 5"/>
    <w:basedOn w:val="TOC4"/>
    <w:uiPriority w:val="39"/>
    <w:rsid w:val="00EA1409"/>
    <w:pPr>
      <w:ind w:left="1701" w:hanging="1701"/>
    </w:pPr>
  </w:style>
  <w:style w:type="paragraph" w:styleId="TOC4">
    <w:name w:val="toc 4"/>
    <w:basedOn w:val="TOC3"/>
    <w:uiPriority w:val="39"/>
    <w:rsid w:val="00EA1409"/>
    <w:pPr>
      <w:ind w:left="1418" w:hanging="1418"/>
    </w:pPr>
  </w:style>
  <w:style w:type="paragraph" w:styleId="TOC3">
    <w:name w:val="toc 3"/>
    <w:basedOn w:val="TOC2"/>
    <w:uiPriority w:val="39"/>
    <w:rsid w:val="00EA1409"/>
    <w:pPr>
      <w:ind w:left="1134" w:hanging="1134"/>
    </w:pPr>
  </w:style>
  <w:style w:type="paragraph" w:styleId="TOC2">
    <w:name w:val="toc 2"/>
    <w:basedOn w:val="TOC1"/>
    <w:uiPriority w:val="39"/>
    <w:rsid w:val="00EA1409"/>
    <w:pPr>
      <w:keepNext w:val="0"/>
      <w:spacing w:before="0"/>
      <w:ind w:left="851" w:hanging="851"/>
    </w:pPr>
    <w:rPr>
      <w:sz w:val="20"/>
    </w:rPr>
  </w:style>
  <w:style w:type="paragraph" w:styleId="Index2">
    <w:name w:val="index 2"/>
    <w:basedOn w:val="Index1"/>
    <w:rsid w:val="00EA1409"/>
    <w:pPr>
      <w:ind w:left="284"/>
    </w:pPr>
  </w:style>
  <w:style w:type="paragraph" w:styleId="Index1">
    <w:name w:val="index 1"/>
    <w:basedOn w:val="Normal"/>
    <w:rsid w:val="00EA1409"/>
    <w:pPr>
      <w:keepLines/>
      <w:spacing w:after="0"/>
    </w:pPr>
  </w:style>
  <w:style w:type="paragraph" w:styleId="DocumentMap">
    <w:name w:val="Document Map"/>
    <w:basedOn w:val="Normal"/>
    <w:link w:val="DocumentMapChar"/>
    <w:rsid w:val="00EA1409"/>
    <w:pPr>
      <w:shd w:val="clear" w:color="auto" w:fill="000080"/>
    </w:pPr>
    <w:rPr>
      <w:rFonts w:ascii="Tahoma" w:hAnsi="Tahoma" w:cs="Tahoma"/>
    </w:rPr>
  </w:style>
  <w:style w:type="paragraph" w:styleId="ListNumber2">
    <w:name w:val="List Number 2"/>
    <w:basedOn w:val="ListNumber"/>
    <w:rsid w:val="00EA1409"/>
    <w:pPr>
      <w:numPr>
        <w:numId w:val="22"/>
      </w:numPr>
    </w:pPr>
  </w:style>
  <w:style w:type="paragraph" w:styleId="ListNumber">
    <w:name w:val="List Number"/>
    <w:basedOn w:val="List"/>
    <w:rsid w:val="00EA1409"/>
    <w:pPr>
      <w:numPr>
        <w:numId w:val="21"/>
      </w:numPr>
    </w:pPr>
    <w:rPr>
      <w:lang w:eastAsia="ja-JP"/>
    </w:rPr>
  </w:style>
  <w:style w:type="paragraph" w:styleId="List">
    <w:name w:val="List"/>
    <w:basedOn w:val="BodyText"/>
    <w:rsid w:val="00EA1409"/>
    <w:pPr>
      <w:ind w:left="568" w:hanging="284"/>
    </w:pPr>
  </w:style>
  <w:style w:type="paragraph" w:styleId="Header">
    <w:name w:val="header"/>
    <w:link w:val="HeaderChar"/>
    <w:rsid w:val="00EA140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A1409"/>
    <w:rPr>
      <w:b/>
      <w:position w:val="6"/>
      <w:sz w:val="16"/>
    </w:rPr>
  </w:style>
  <w:style w:type="paragraph" w:styleId="FootnoteText">
    <w:name w:val="footnote text"/>
    <w:basedOn w:val="Normal"/>
    <w:link w:val="FootnoteTextChar"/>
    <w:rsid w:val="00EA1409"/>
    <w:pPr>
      <w:keepLines/>
      <w:spacing w:after="0"/>
      <w:ind w:left="454" w:hanging="454"/>
    </w:pPr>
    <w:rPr>
      <w:sz w:val="16"/>
    </w:rPr>
  </w:style>
  <w:style w:type="paragraph" w:customStyle="1" w:styleId="3GPPHeader">
    <w:name w:val="3GPP_Header"/>
    <w:basedOn w:val="BodyText"/>
    <w:rsid w:val="00EA1409"/>
    <w:pPr>
      <w:tabs>
        <w:tab w:val="left" w:pos="1701"/>
        <w:tab w:val="right" w:pos="9639"/>
      </w:tabs>
      <w:spacing w:after="240"/>
    </w:pPr>
    <w:rPr>
      <w:b/>
      <w:sz w:val="24"/>
    </w:rPr>
  </w:style>
  <w:style w:type="paragraph" w:styleId="TOC9">
    <w:name w:val="toc 9"/>
    <w:basedOn w:val="TOC8"/>
    <w:uiPriority w:val="39"/>
    <w:rsid w:val="00EA1409"/>
    <w:pPr>
      <w:ind w:left="1418" w:hanging="1418"/>
    </w:pPr>
  </w:style>
  <w:style w:type="paragraph" w:styleId="TOC6">
    <w:name w:val="toc 6"/>
    <w:basedOn w:val="TOC5"/>
    <w:next w:val="Normal"/>
    <w:uiPriority w:val="39"/>
    <w:rsid w:val="00EA1409"/>
    <w:pPr>
      <w:ind w:left="1985" w:hanging="1985"/>
    </w:pPr>
  </w:style>
  <w:style w:type="paragraph" w:styleId="TOC7">
    <w:name w:val="toc 7"/>
    <w:basedOn w:val="TOC6"/>
    <w:next w:val="Normal"/>
    <w:uiPriority w:val="39"/>
    <w:rsid w:val="00EA1409"/>
    <w:pPr>
      <w:ind w:left="2268" w:hanging="2268"/>
    </w:pPr>
  </w:style>
  <w:style w:type="paragraph" w:styleId="ListBullet2">
    <w:name w:val="List Bullet 2"/>
    <w:basedOn w:val="ListBullet"/>
    <w:rsid w:val="00EA1409"/>
    <w:pPr>
      <w:numPr>
        <w:numId w:val="17"/>
      </w:numPr>
    </w:pPr>
  </w:style>
  <w:style w:type="paragraph" w:styleId="ListBullet">
    <w:name w:val="List Bullet"/>
    <w:basedOn w:val="List"/>
    <w:rsid w:val="00EA1409"/>
    <w:pPr>
      <w:numPr>
        <w:numId w:val="16"/>
      </w:numPr>
    </w:pPr>
    <w:rPr>
      <w:lang w:eastAsia="ja-JP"/>
    </w:rPr>
  </w:style>
  <w:style w:type="paragraph" w:styleId="ListBullet3">
    <w:name w:val="List Bullet 3"/>
    <w:basedOn w:val="ListBullet2"/>
    <w:rsid w:val="00EA1409"/>
    <w:pPr>
      <w:numPr>
        <w:numId w:val="18"/>
      </w:numPr>
    </w:pPr>
  </w:style>
  <w:style w:type="paragraph" w:customStyle="1" w:styleId="EQ">
    <w:name w:val="EQ"/>
    <w:basedOn w:val="Normal"/>
    <w:next w:val="Normal"/>
    <w:rsid w:val="00EA1409"/>
    <w:pPr>
      <w:keepLines/>
      <w:tabs>
        <w:tab w:val="center" w:pos="4536"/>
        <w:tab w:val="right" w:pos="9072"/>
      </w:tabs>
    </w:pPr>
    <w:rPr>
      <w:noProof/>
    </w:rPr>
  </w:style>
  <w:style w:type="paragraph" w:styleId="List2">
    <w:name w:val="List 2"/>
    <w:basedOn w:val="List"/>
    <w:rsid w:val="00EA1409"/>
    <w:pPr>
      <w:ind w:left="851"/>
    </w:pPr>
    <w:rPr>
      <w:lang w:eastAsia="ja-JP"/>
    </w:rPr>
  </w:style>
  <w:style w:type="paragraph" w:styleId="List3">
    <w:name w:val="List 3"/>
    <w:basedOn w:val="List2"/>
    <w:rsid w:val="00EA1409"/>
    <w:pPr>
      <w:ind w:left="1135"/>
    </w:pPr>
  </w:style>
  <w:style w:type="paragraph" w:styleId="List4">
    <w:name w:val="List 4"/>
    <w:basedOn w:val="List3"/>
    <w:rsid w:val="00EA1409"/>
    <w:pPr>
      <w:ind w:left="1418"/>
    </w:pPr>
  </w:style>
  <w:style w:type="paragraph" w:styleId="List5">
    <w:name w:val="List 5"/>
    <w:basedOn w:val="List4"/>
    <w:rsid w:val="00EA1409"/>
    <w:pPr>
      <w:ind w:left="1702"/>
    </w:pPr>
  </w:style>
  <w:style w:type="paragraph" w:customStyle="1" w:styleId="EditorsNote">
    <w:name w:val="Editor's Note"/>
    <w:basedOn w:val="NO"/>
    <w:link w:val="EditorsNoteChar"/>
    <w:rsid w:val="00EA1409"/>
    <w:rPr>
      <w:color w:val="FF0000"/>
      <w:lang w:val="x-none" w:eastAsia="x-none"/>
    </w:rPr>
  </w:style>
  <w:style w:type="paragraph" w:styleId="ListBullet4">
    <w:name w:val="List Bullet 4"/>
    <w:basedOn w:val="ListBullet3"/>
    <w:rsid w:val="00EA1409"/>
    <w:pPr>
      <w:numPr>
        <w:numId w:val="19"/>
      </w:numPr>
    </w:pPr>
  </w:style>
  <w:style w:type="paragraph" w:styleId="ListBullet5">
    <w:name w:val="List Bullet 5"/>
    <w:basedOn w:val="ListBullet4"/>
    <w:rsid w:val="00EA1409"/>
    <w:pPr>
      <w:numPr>
        <w:numId w:val="20"/>
      </w:numPr>
    </w:pPr>
  </w:style>
  <w:style w:type="paragraph" w:styleId="Footer">
    <w:name w:val="footer"/>
    <w:basedOn w:val="Header"/>
    <w:link w:val="FooterChar"/>
    <w:rsid w:val="00EA1409"/>
    <w:pPr>
      <w:jc w:val="center"/>
    </w:pPr>
    <w:rPr>
      <w:i/>
    </w:rPr>
  </w:style>
  <w:style w:type="paragraph" w:customStyle="1" w:styleId="Reference">
    <w:name w:val="Reference"/>
    <w:basedOn w:val="BodyText"/>
    <w:link w:val="ReferenceChar"/>
    <w:rsid w:val="00EA1409"/>
    <w:pPr>
      <w:numPr>
        <w:numId w:val="2"/>
      </w:numPr>
    </w:pPr>
  </w:style>
  <w:style w:type="paragraph" w:styleId="BalloonText">
    <w:name w:val="Balloon Text"/>
    <w:basedOn w:val="Normal"/>
    <w:link w:val="BalloonTextChar"/>
    <w:rsid w:val="00EA1409"/>
    <w:pPr>
      <w:spacing w:after="0"/>
    </w:pPr>
    <w:rPr>
      <w:rFonts w:ascii="Segoe UI" w:hAnsi="Segoe UI" w:cs="Segoe UI"/>
      <w:sz w:val="18"/>
      <w:szCs w:val="18"/>
    </w:rPr>
  </w:style>
  <w:style w:type="character" w:styleId="PageNumber">
    <w:name w:val="page number"/>
    <w:basedOn w:val="DefaultParagraphFont"/>
    <w:rsid w:val="00EA1409"/>
  </w:style>
  <w:style w:type="paragraph" w:styleId="BodyText">
    <w:name w:val="Body Text"/>
    <w:basedOn w:val="Normal"/>
    <w:link w:val="BodyTextChar"/>
    <w:rsid w:val="00EA1409"/>
    <w:pPr>
      <w:spacing w:after="120"/>
      <w:jc w:val="both"/>
    </w:pPr>
    <w:rPr>
      <w:rFonts w:ascii="Arial" w:hAnsi="Arial"/>
    </w:rPr>
  </w:style>
  <w:style w:type="character" w:styleId="Hyperlink">
    <w:name w:val="Hyperlink"/>
    <w:uiPriority w:val="99"/>
    <w:rsid w:val="00EA1409"/>
    <w:rPr>
      <w:color w:val="0000FF"/>
      <w:u w:val="single"/>
    </w:rPr>
  </w:style>
  <w:style w:type="character" w:styleId="FollowedHyperlink">
    <w:name w:val="FollowedHyperlink"/>
    <w:unhideWhenUsed/>
    <w:rsid w:val="00EA1409"/>
    <w:rPr>
      <w:color w:val="800080"/>
      <w:u w:val="single"/>
    </w:rPr>
  </w:style>
  <w:style w:type="character" w:styleId="CommentReference">
    <w:name w:val="annotation reference"/>
    <w:qFormat/>
    <w:rsid w:val="00EA1409"/>
    <w:rPr>
      <w:sz w:val="16"/>
      <w:szCs w:val="16"/>
    </w:rPr>
  </w:style>
  <w:style w:type="paragraph" w:styleId="CommentText">
    <w:name w:val="annotation text"/>
    <w:basedOn w:val="Normal"/>
    <w:link w:val="CommentTextChar"/>
    <w:qFormat/>
    <w:rsid w:val="00EA1409"/>
  </w:style>
  <w:style w:type="paragraph" w:styleId="CommentSubject">
    <w:name w:val="annotation subject"/>
    <w:basedOn w:val="CommentText"/>
    <w:next w:val="CommentText"/>
    <w:link w:val="CommentSubjectChar"/>
    <w:rsid w:val="00EA1409"/>
    <w:rPr>
      <w:b/>
      <w:bCs/>
    </w:rPr>
  </w:style>
  <w:style w:type="character" w:customStyle="1" w:styleId="Heading1Char">
    <w:name w:val="Heading 1 Char"/>
    <w:link w:val="Heading1"/>
    <w:rsid w:val="00EA1409"/>
    <w:rPr>
      <w:rFonts w:ascii="Arial" w:hAnsi="Arial"/>
      <w:sz w:val="36"/>
      <w:lang w:eastAsia="ja-JP"/>
    </w:rPr>
  </w:style>
  <w:style w:type="paragraph" w:customStyle="1" w:styleId="B1">
    <w:name w:val="B1"/>
    <w:basedOn w:val="List"/>
    <w:link w:val="B1Char1"/>
    <w:rsid w:val="00EA1409"/>
    <w:rPr>
      <w:rFonts w:ascii="Times New Roman" w:hAnsi="Times New Roman"/>
    </w:rPr>
  </w:style>
  <w:style w:type="paragraph" w:customStyle="1" w:styleId="B2">
    <w:name w:val="B2"/>
    <w:basedOn w:val="List2"/>
    <w:link w:val="B2Char"/>
    <w:rsid w:val="00EA1409"/>
    <w:rPr>
      <w:rFonts w:ascii="Times New Roman" w:hAnsi="Times New Roman"/>
    </w:rPr>
  </w:style>
  <w:style w:type="paragraph" w:customStyle="1" w:styleId="B3">
    <w:name w:val="B3"/>
    <w:basedOn w:val="List3"/>
    <w:link w:val="B3Char2"/>
    <w:rsid w:val="00EA1409"/>
    <w:rPr>
      <w:rFonts w:ascii="Times New Roman" w:hAnsi="Times New Roman"/>
    </w:rPr>
  </w:style>
  <w:style w:type="paragraph" w:customStyle="1" w:styleId="B4">
    <w:name w:val="B4"/>
    <w:basedOn w:val="List4"/>
    <w:link w:val="B4Char"/>
    <w:rsid w:val="00EA1409"/>
    <w:rPr>
      <w:rFonts w:ascii="Times New Roman" w:hAnsi="Times New Roman"/>
    </w:rPr>
  </w:style>
  <w:style w:type="paragraph" w:customStyle="1" w:styleId="Proposal">
    <w:name w:val="Proposal"/>
    <w:basedOn w:val="BodyText"/>
    <w:rsid w:val="00EA1409"/>
    <w:pPr>
      <w:numPr>
        <w:numId w:val="3"/>
      </w:numPr>
      <w:tabs>
        <w:tab w:val="clear" w:pos="1304"/>
        <w:tab w:val="left" w:pos="1701"/>
      </w:tabs>
      <w:ind w:left="1701" w:hanging="1701"/>
    </w:pPr>
    <w:rPr>
      <w:b/>
      <w:bCs/>
    </w:rPr>
  </w:style>
  <w:style w:type="character" w:customStyle="1" w:styleId="BodyTextChar">
    <w:name w:val="Body Text Char"/>
    <w:link w:val="BodyText"/>
    <w:rsid w:val="00EA1409"/>
    <w:rPr>
      <w:rFonts w:ascii="Arial" w:hAnsi="Arial"/>
      <w:lang w:eastAsia="zh-CN"/>
    </w:rPr>
  </w:style>
  <w:style w:type="paragraph" w:customStyle="1" w:styleId="B5">
    <w:name w:val="B5"/>
    <w:basedOn w:val="List5"/>
    <w:link w:val="B5Char"/>
    <w:rsid w:val="00EA1409"/>
    <w:rPr>
      <w:rFonts w:ascii="Times New Roman" w:hAnsi="Times New Roman"/>
    </w:rPr>
  </w:style>
  <w:style w:type="paragraph" w:customStyle="1" w:styleId="EX">
    <w:name w:val="EX"/>
    <w:basedOn w:val="Normal"/>
    <w:rsid w:val="00EA1409"/>
    <w:pPr>
      <w:keepLines/>
      <w:ind w:left="1702" w:hanging="1418"/>
    </w:pPr>
  </w:style>
  <w:style w:type="paragraph" w:customStyle="1" w:styleId="EW">
    <w:name w:val="EW"/>
    <w:basedOn w:val="EX"/>
    <w:rsid w:val="00EA1409"/>
    <w:pPr>
      <w:spacing w:after="0"/>
    </w:pPr>
  </w:style>
  <w:style w:type="paragraph" w:customStyle="1" w:styleId="TAL">
    <w:name w:val="TAL"/>
    <w:basedOn w:val="Normal"/>
    <w:link w:val="TALCar"/>
    <w:rsid w:val="00EA1409"/>
    <w:pPr>
      <w:keepNext/>
      <w:keepLines/>
      <w:spacing w:after="0"/>
    </w:pPr>
    <w:rPr>
      <w:rFonts w:ascii="Arial" w:hAnsi="Arial"/>
      <w:sz w:val="18"/>
      <w:lang w:val="x-none" w:eastAsia="x-none"/>
    </w:rPr>
  </w:style>
  <w:style w:type="paragraph" w:customStyle="1" w:styleId="TAC">
    <w:name w:val="TAC"/>
    <w:basedOn w:val="TAL"/>
    <w:rsid w:val="00EA1409"/>
    <w:pPr>
      <w:jc w:val="center"/>
    </w:pPr>
  </w:style>
  <w:style w:type="paragraph" w:customStyle="1" w:styleId="TAH">
    <w:name w:val="TAH"/>
    <w:basedOn w:val="TAC"/>
    <w:link w:val="TAHCar"/>
    <w:rsid w:val="00EA1409"/>
    <w:rPr>
      <w:b/>
    </w:rPr>
  </w:style>
  <w:style w:type="paragraph" w:customStyle="1" w:styleId="TAN">
    <w:name w:val="TAN"/>
    <w:basedOn w:val="TAL"/>
    <w:rsid w:val="00EA1409"/>
    <w:pPr>
      <w:ind w:left="851" w:hanging="851"/>
    </w:pPr>
  </w:style>
  <w:style w:type="paragraph" w:customStyle="1" w:styleId="TAR">
    <w:name w:val="TAR"/>
    <w:basedOn w:val="TAL"/>
    <w:rsid w:val="00EA1409"/>
    <w:pPr>
      <w:jc w:val="right"/>
    </w:pPr>
  </w:style>
  <w:style w:type="paragraph" w:customStyle="1" w:styleId="TH">
    <w:name w:val="TH"/>
    <w:basedOn w:val="Normal"/>
    <w:link w:val="THChar"/>
    <w:rsid w:val="00EA1409"/>
    <w:pPr>
      <w:keepNext/>
      <w:keepLines/>
      <w:spacing w:before="60"/>
      <w:jc w:val="center"/>
    </w:pPr>
    <w:rPr>
      <w:rFonts w:ascii="Arial" w:hAnsi="Arial"/>
      <w:b/>
      <w:lang w:val="x-none" w:eastAsia="x-none"/>
    </w:rPr>
  </w:style>
  <w:style w:type="paragraph" w:customStyle="1" w:styleId="TF">
    <w:name w:val="TF"/>
    <w:basedOn w:val="TH"/>
    <w:link w:val="TFChar"/>
    <w:rsid w:val="00EA1409"/>
    <w:pPr>
      <w:keepNext w:val="0"/>
      <w:spacing w:before="0" w:after="240"/>
    </w:pPr>
  </w:style>
  <w:style w:type="paragraph" w:customStyle="1" w:styleId="TT">
    <w:name w:val="TT"/>
    <w:basedOn w:val="Heading1"/>
    <w:next w:val="Normal"/>
    <w:rsid w:val="00EA1409"/>
    <w:pPr>
      <w:outlineLvl w:val="9"/>
    </w:pPr>
  </w:style>
  <w:style w:type="paragraph" w:customStyle="1" w:styleId="ZA">
    <w:name w:val="ZA"/>
    <w:rsid w:val="00EA14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A14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A14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A14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A1409"/>
  </w:style>
  <w:style w:type="paragraph" w:customStyle="1" w:styleId="ZH">
    <w:name w:val="ZH"/>
    <w:rsid w:val="00EA14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A14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A1409"/>
    <w:pPr>
      <w:framePr w:hRule="auto" w:wrap="notBeside" w:y="852"/>
    </w:pPr>
    <w:rPr>
      <w:i w:val="0"/>
      <w:sz w:val="40"/>
    </w:rPr>
  </w:style>
  <w:style w:type="paragraph" w:customStyle="1" w:styleId="ZU">
    <w:name w:val="ZU"/>
    <w:rsid w:val="00EA14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A1409"/>
    <w:pPr>
      <w:framePr w:wrap="notBeside" w:y="16161"/>
    </w:pPr>
  </w:style>
  <w:style w:type="paragraph" w:customStyle="1" w:styleId="FP">
    <w:name w:val="FP"/>
    <w:basedOn w:val="Normal"/>
    <w:rsid w:val="00EA1409"/>
    <w:pPr>
      <w:spacing w:after="0"/>
    </w:pPr>
  </w:style>
  <w:style w:type="paragraph" w:customStyle="1" w:styleId="Observation">
    <w:name w:val="Observation"/>
    <w:basedOn w:val="Proposal"/>
    <w:qFormat/>
    <w:rsid w:val="00EA1409"/>
    <w:pPr>
      <w:numPr>
        <w:numId w:val="13"/>
      </w:numPr>
      <w:ind w:left="1701" w:hanging="1701"/>
    </w:pPr>
    <w:rPr>
      <w:lang w:eastAsia="ja-JP"/>
    </w:rPr>
  </w:style>
  <w:style w:type="paragraph" w:styleId="TableofFigures">
    <w:name w:val="table of figures"/>
    <w:basedOn w:val="BodyText"/>
    <w:next w:val="Normal"/>
    <w:uiPriority w:val="99"/>
    <w:rsid w:val="00EA1409"/>
    <w:pPr>
      <w:ind w:left="1701" w:hanging="1701"/>
      <w:jc w:val="left"/>
    </w:pPr>
    <w:rPr>
      <w:b/>
    </w:rPr>
  </w:style>
  <w:style w:type="character" w:customStyle="1" w:styleId="B1Char1">
    <w:name w:val="B1 Char1"/>
    <w:link w:val="B1"/>
    <w:qFormat/>
    <w:rsid w:val="00EA1409"/>
    <w:rPr>
      <w:rFonts w:ascii="Times New Roman" w:hAnsi="Times New Roman"/>
      <w:lang w:eastAsia="zh-CN"/>
    </w:rPr>
  </w:style>
  <w:style w:type="character" w:customStyle="1" w:styleId="B2Char">
    <w:name w:val="B2 Char"/>
    <w:link w:val="B2"/>
    <w:qFormat/>
    <w:rsid w:val="00EA1409"/>
    <w:rPr>
      <w:rFonts w:ascii="Times New Roman" w:hAnsi="Times New Roman"/>
      <w:lang w:eastAsia="ja-JP"/>
    </w:rPr>
  </w:style>
  <w:style w:type="character" w:customStyle="1" w:styleId="B3Char2">
    <w:name w:val="B3 Char2"/>
    <w:link w:val="B3"/>
    <w:qFormat/>
    <w:rsid w:val="00EA1409"/>
    <w:rPr>
      <w:rFonts w:ascii="Times New Roman" w:hAnsi="Times New Roman"/>
      <w:lang w:eastAsia="ja-JP"/>
    </w:rPr>
  </w:style>
  <w:style w:type="character" w:customStyle="1" w:styleId="B4Char">
    <w:name w:val="B4 Char"/>
    <w:link w:val="B4"/>
    <w:rsid w:val="00EA1409"/>
    <w:rPr>
      <w:rFonts w:ascii="Times New Roman" w:hAnsi="Times New Roman"/>
      <w:lang w:eastAsia="ja-JP"/>
    </w:rPr>
  </w:style>
  <w:style w:type="character" w:customStyle="1" w:styleId="B5Char">
    <w:name w:val="B5 Char"/>
    <w:link w:val="B5"/>
    <w:rsid w:val="00EA1409"/>
    <w:rPr>
      <w:rFonts w:ascii="Times New Roman" w:hAnsi="Times New Roman"/>
      <w:lang w:eastAsia="ja-JP"/>
    </w:rPr>
  </w:style>
  <w:style w:type="paragraph" w:customStyle="1" w:styleId="B6">
    <w:name w:val="B6"/>
    <w:basedOn w:val="B5"/>
    <w:link w:val="B6Char"/>
    <w:rsid w:val="00EA1409"/>
    <w:pPr>
      <w:ind w:left="1985"/>
    </w:pPr>
  </w:style>
  <w:style w:type="character" w:customStyle="1" w:styleId="B6Char">
    <w:name w:val="B6 Char"/>
    <w:link w:val="B6"/>
    <w:rsid w:val="00EA1409"/>
    <w:rPr>
      <w:rFonts w:ascii="Times New Roman" w:hAnsi="Times New Roman"/>
      <w:lang w:eastAsia="ja-JP"/>
    </w:rPr>
  </w:style>
  <w:style w:type="paragraph" w:customStyle="1" w:styleId="B7">
    <w:name w:val="B7"/>
    <w:basedOn w:val="B6"/>
    <w:link w:val="B7Char"/>
    <w:rsid w:val="00EA1409"/>
    <w:pPr>
      <w:ind w:left="2269"/>
    </w:pPr>
  </w:style>
  <w:style w:type="character" w:customStyle="1" w:styleId="B7Char">
    <w:name w:val="B7 Char"/>
    <w:basedOn w:val="B6Char"/>
    <w:link w:val="B7"/>
    <w:rsid w:val="00EA1409"/>
    <w:rPr>
      <w:rFonts w:ascii="Times New Roman" w:hAnsi="Times New Roman"/>
      <w:lang w:eastAsia="ja-JP"/>
    </w:rPr>
  </w:style>
  <w:style w:type="paragraph" w:customStyle="1" w:styleId="B8">
    <w:name w:val="B8"/>
    <w:basedOn w:val="B7"/>
    <w:qFormat/>
    <w:rsid w:val="00EA1409"/>
    <w:pPr>
      <w:ind w:left="2552"/>
    </w:pPr>
  </w:style>
  <w:style w:type="character" w:customStyle="1" w:styleId="BalloonTextChar">
    <w:name w:val="Balloon Text Char"/>
    <w:link w:val="BalloonText"/>
    <w:rsid w:val="00EA1409"/>
    <w:rPr>
      <w:rFonts w:ascii="Segoe UI" w:hAnsi="Segoe UI" w:cs="Segoe UI"/>
      <w:sz w:val="18"/>
      <w:szCs w:val="18"/>
      <w:lang w:eastAsia="ja-JP"/>
    </w:rPr>
  </w:style>
  <w:style w:type="character" w:customStyle="1" w:styleId="CommentTextChar">
    <w:name w:val="Comment Text Char"/>
    <w:link w:val="CommentText"/>
    <w:qFormat/>
    <w:rsid w:val="00EA1409"/>
    <w:rPr>
      <w:rFonts w:ascii="Times New Roman" w:hAnsi="Times New Roman"/>
      <w:lang w:eastAsia="ja-JP"/>
    </w:rPr>
  </w:style>
  <w:style w:type="character" w:customStyle="1" w:styleId="CommentSubjectChar">
    <w:name w:val="Comment Subject Char"/>
    <w:link w:val="CommentSubject"/>
    <w:rsid w:val="00EA1409"/>
    <w:rPr>
      <w:rFonts w:ascii="Times New Roman" w:hAnsi="Times New Roman"/>
      <w:b/>
      <w:bCs/>
      <w:lang w:eastAsia="ja-JP"/>
    </w:rPr>
  </w:style>
  <w:style w:type="paragraph" w:customStyle="1" w:styleId="CRCoverPage">
    <w:name w:val="CR Cover Page"/>
    <w:link w:val="CRCoverPageZchn"/>
    <w:rsid w:val="00EA1409"/>
    <w:pPr>
      <w:spacing w:after="120"/>
    </w:pPr>
    <w:rPr>
      <w:rFonts w:ascii="Arial" w:hAnsi="Arial"/>
      <w:lang w:eastAsia="ko-KR"/>
    </w:rPr>
  </w:style>
  <w:style w:type="character" w:customStyle="1" w:styleId="CRCoverPageZchn">
    <w:name w:val="CR Cover Page Zchn"/>
    <w:link w:val="CRCoverPage"/>
    <w:rsid w:val="00EA1409"/>
    <w:rPr>
      <w:rFonts w:ascii="Arial" w:hAnsi="Arial"/>
      <w:lang w:eastAsia="ko-KR"/>
    </w:rPr>
  </w:style>
  <w:style w:type="paragraph" w:customStyle="1" w:styleId="Doc-text2">
    <w:name w:val="Doc-text2"/>
    <w:basedOn w:val="Normal"/>
    <w:link w:val="Doc-text2Char"/>
    <w:qFormat/>
    <w:rsid w:val="00EA140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A1409"/>
    <w:rPr>
      <w:rFonts w:ascii="Arial" w:eastAsia="MS Mincho" w:hAnsi="Arial"/>
      <w:szCs w:val="24"/>
      <w:lang w:val="x-none" w:eastAsia="x-none"/>
    </w:rPr>
  </w:style>
  <w:style w:type="character" w:customStyle="1" w:styleId="DocumentMapChar">
    <w:name w:val="Document Map Char"/>
    <w:link w:val="DocumentMap"/>
    <w:rsid w:val="00EA1409"/>
    <w:rPr>
      <w:rFonts w:ascii="Tahoma" w:hAnsi="Tahoma" w:cs="Tahoma"/>
      <w:shd w:val="clear" w:color="auto" w:fill="000080"/>
      <w:lang w:eastAsia="ja-JP"/>
    </w:rPr>
  </w:style>
  <w:style w:type="paragraph" w:customStyle="1" w:styleId="NO">
    <w:name w:val="NO"/>
    <w:basedOn w:val="Normal"/>
    <w:link w:val="NOChar"/>
    <w:rsid w:val="00EA1409"/>
    <w:pPr>
      <w:keepLines/>
      <w:ind w:left="1135" w:hanging="851"/>
    </w:pPr>
  </w:style>
  <w:style w:type="character" w:customStyle="1" w:styleId="NOChar">
    <w:name w:val="NO Char"/>
    <w:link w:val="NO"/>
    <w:qFormat/>
    <w:rsid w:val="00EA1409"/>
    <w:rPr>
      <w:rFonts w:ascii="Times New Roman" w:hAnsi="Times New Roman"/>
      <w:lang w:eastAsia="ja-JP"/>
    </w:rPr>
  </w:style>
  <w:style w:type="character" w:customStyle="1" w:styleId="EditorsNoteChar">
    <w:name w:val="Editor's Note Char"/>
    <w:link w:val="EditorsNote"/>
    <w:rsid w:val="00EA1409"/>
    <w:rPr>
      <w:rFonts w:ascii="Times New Roman" w:hAnsi="Times New Roman"/>
      <w:color w:val="FF0000"/>
      <w:lang w:val="x-none" w:eastAsia="x-none"/>
    </w:rPr>
  </w:style>
  <w:style w:type="paragraph" w:customStyle="1" w:styleId="EmailDiscussion">
    <w:name w:val="EmailDiscussion"/>
    <w:basedOn w:val="Normal"/>
    <w:next w:val="Normal"/>
    <w:rsid w:val="00EA1409"/>
    <w:pPr>
      <w:numPr>
        <w:numId w:val="14"/>
      </w:numPr>
      <w:spacing w:before="40" w:after="0"/>
    </w:pPr>
    <w:rPr>
      <w:rFonts w:ascii="Arial" w:eastAsia="MS Mincho" w:hAnsi="Arial"/>
      <w:b/>
      <w:szCs w:val="24"/>
      <w:lang w:eastAsia="en-GB"/>
    </w:rPr>
  </w:style>
  <w:style w:type="character" w:styleId="Emphasis">
    <w:name w:val="Emphasis"/>
    <w:qFormat/>
    <w:rsid w:val="00EA1409"/>
    <w:rPr>
      <w:i/>
      <w:iCs/>
    </w:rPr>
  </w:style>
  <w:style w:type="paragraph" w:customStyle="1" w:styleId="FigureTitle">
    <w:name w:val="Figure_Title"/>
    <w:basedOn w:val="Normal"/>
    <w:next w:val="Normal"/>
    <w:rsid w:val="00EA140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A1409"/>
    <w:rPr>
      <w:rFonts w:ascii="Arial" w:hAnsi="Arial"/>
      <w:b/>
      <w:noProof/>
      <w:sz w:val="18"/>
      <w:lang w:eastAsia="ja-JP"/>
    </w:rPr>
  </w:style>
  <w:style w:type="character" w:customStyle="1" w:styleId="FooterChar">
    <w:name w:val="Footer Char"/>
    <w:link w:val="Footer"/>
    <w:rsid w:val="00EA1409"/>
    <w:rPr>
      <w:rFonts w:ascii="Arial" w:hAnsi="Arial"/>
      <w:b/>
      <w:i/>
      <w:noProof/>
      <w:sz w:val="18"/>
      <w:lang w:eastAsia="ja-JP"/>
    </w:rPr>
  </w:style>
  <w:style w:type="character" w:customStyle="1" w:styleId="FootnoteTextChar">
    <w:name w:val="Footnote Text Char"/>
    <w:link w:val="FootnoteText"/>
    <w:rsid w:val="00EA1409"/>
    <w:rPr>
      <w:rFonts w:ascii="Times New Roman" w:hAnsi="Times New Roman"/>
      <w:sz w:val="16"/>
      <w:lang w:eastAsia="ja-JP"/>
    </w:rPr>
  </w:style>
  <w:style w:type="paragraph" w:customStyle="1" w:styleId="Guidance">
    <w:name w:val="Guidance"/>
    <w:basedOn w:val="Normal"/>
    <w:rsid w:val="00EA1409"/>
    <w:rPr>
      <w:i/>
      <w:color w:val="0000FF"/>
    </w:rPr>
  </w:style>
  <w:style w:type="character" w:customStyle="1" w:styleId="Heading2Char">
    <w:name w:val="Heading 2 Char"/>
    <w:link w:val="Heading2"/>
    <w:rsid w:val="00EA1409"/>
    <w:rPr>
      <w:rFonts w:ascii="Arial" w:hAnsi="Arial"/>
      <w:sz w:val="32"/>
      <w:lang w:eastAsia="ja-JP"/>
    </w:rPr>
  </w:style>
  <w:style w:type="character" w:customStyle="1" w:styleId="Heading3Char">
    <w:name w:val="Heading 3 Char"/>
    <w:link w:val="Heading3"/>
    <w:rsid w:val="00EA1409"/>
    <w:rPr>
      <w:rFonts w:ascii="Arial" w:hAnsi="Arial"/>
      <w:sz w:val="28"/>
      <w:lang w:eastAsia="ja-JP"/>
    </w:rPr>
  </w:style>
  <w:style w:type="character" w:customStyle="1" w:styleId="Heading4Char">
    <w:name w:val="Heading 4 Char"/>
    <w:link w:val="Heading4"/>
    <w:rsid w:val="00EA1409"/>
    <w:rPr>
      <w:rFonts w:ascii="Arial" w:hAnsi="Arial"/>
      <w:sz w:val="24"/>
      <w:lang w:eastAsia="ja-JP"/>
    </w:rPr>
  </w:style>
  <w:style w:type="character" w:customStyle="1" w:styleId="Heading5Char">
    <w:name w:val="Heading 5 Char"/>
    <w:link w:val="Heading5"/>
    <w:rsid w:val="00EA1409"/>
    <w:rPr>
      <w:rFonts w:ascii="Arial" w:hAnsi="Arial"/>
      <w:sz w:val="22"/>
      <w:lang w:eastAsia="ja-JP"/>
    </w:rPr>
  </w:style>
  <w:style w:type="paragraph" w:customStyle="1" w:styleId="H6">
    <w:name w:val="H6"/>
    <w:basedOn w:val="Heading5"/>
    <w:next w:val="Normal"/>
    <w:rsid w:val="00EA1409"/>
    <w:pPr>
      <w:ind w:left="1985" w:hanging="1985"/>
      <w:outlineLvl w:val="9"/>
    </w:pPr>
    <w:rPr>
      <w:sz w:val="20"/>
    </w:rPr>
  </w:style>
  <w:style w:type="character" w:customStyle="1" w:styleId="Heading6Char">
    <w:name w:val="Heading 6 Char"/>
    <w:link w:val="Heading6"/>
    <w:rsid w:val="00EA1409"/>
    <w:rPr>
      <w:rFonts w:ascii="Arial" w:hAnsi="Arial"/>
      <w:lang w:eastAsia="ja-JP"/>
    </w:rPr>
  </w:style>
  <w:style w:type="character" w:customStyle="1" w:styleId="Heading7Char">
    <w:name w:val="Heading 7 Char"/>
    <w:link w:val="Heading7"/>
    <w:rsid w:val="00EA1409"/>
    <w:rPr>
      <w:rFonts w:ascii="Arial" w:hAnsi="Arial"/>
      <w:lang w:eastAsia="ja-JP"/>
    </w:rPr>
  </w:style>
  <w:style w:type="character" w:customStyle="1" w:styleId="Heading8Char">
    <w:name w:val="Heading 8 Char"/>
    <w:link w:val="Heading8"/>
    <w:rsid w:val="00EA1409"/>
    <w:rPr>
      <w:rFonts w:ascii="Arial" w:hAnsi="Arial"/>
      <w:sz w:val="36"/>
      <w:lang w:eastAsia="ja-JP"/>
    </w:rPr>
  </w:style>
  <w:style w:type="character" w:customStyle="1" w:styleId="Heading9Char">
    <w:name w:val="Heading 9 Char"/>
    <w:link w:val="Heading9"/>
    <w:rsid w:val="00EA1409"/>
    <w:rPr>
      <w:rFonts w:ascii="Arial" w:hAnsi="Arial"/>
      <w:sz w:val="36"/>
      <w:lang w:eastAsia="ja-JP"/>
    </w:rPr>
  </w:style>
  <w:style w:type="character" w:styleId="HTMLCode">
    <w:name w:val="HTML Code"/>
    <w:uiPriority w:val="99"/>
    <w:unhideWhenUsed/>
    <w:rsid w:val="00EA1409"/>
    <w:rPr>
      <w:rFonts w:ascii="Courier New" w:eastAsia="Times New Roman" w:hAnsi="Courier New" w:cs="Courier New"/>
      <w:sz w:val="20"/>
      <w:szCs w:val="20"/>
    </w:rPr>
  </w:style>
  <w:style w:type="paragraph" w:styleId="IndexHeading">
    <w:name w:val="index heading"/>
    <w:basedOn w:val="Normal"/>
    <w:next w:val="Normal"/>
    <w:rsid w:val="00EA1409"/>
    <w:pPr>
      <w:pBdr>
        <w:top w:val="single" w:sz="12" w:space="0" w:color="auto"/>
      </w:pBdr>
      <w:spacing w:before="360" w:after="240"/>
    </w:pPr>
    <w:rPr>
      <w:b/>
      <w:i/>
      <w:sz w:val="26"/>
      <w:lang w:eastAsia="en-GB"/>
    </w:rPr>
  </w:style>
  <w:style w:type="paragraph" w:customStyle="1" w:styleId="LD">
    <w:name w:val="LD"/>
    <w:rsid w:val="00EA14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EA1409"/>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EA1409"/>
    <w:rPr>
      <w:rFonts w:ascii="Calibri" w:eastAsia="Calibri" w:hAnsi="Calibri"/>
      <w:sz w:val="22"/>
      <w:szCs w:val="22"/>
      <w:lang w:val="x-none" w:eastAsia="en-US"/>
    </w:rPr>
  </w:style>
  <w:style w:type="paragraph" w:customStyle="1" w:styleId="NF">
    <w:name w:val="NF"/>
    <w:basedOn w:val="NO"/>
    <w:rsid w:val="00EA1409"/>
    <w:pPr>
      <w:keepNext/>
      <w:spacing w:after="0"/>
    </w:pPr>
    <w:rPr>
      <w:rFonts w:ascii="Arial" w:hAnsi="Arial"/>
      <w:sz w:val="18"/>
    </w:rPr>
  </w:style>
  <w:style w:type="paragraph" w:customStyle="1" w:styleId="NW">
    <w:name w:val="NW"/>
    <w:basedOn w:val="NO"/>
    <w:rsid w:val="00EA1409"/>
    <w:pPr>
      <w:spacing w:after="0"/>
    </w:pPr>
  </w:style>
  <w:style w:type="paragraph" w:customStyle="1" w:styleId="PL">
    <w:name w:val="PL"/>
    <w:link w:val="PLChar"/>
    <w:qFormat/>
    <w:rsid w:val="00EA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A1409"/>
    <w:rPr>
      <w:rFonts w:ascii="Courier New" w:eastAsia="Batang" w:hAnsi="Courier New"/>
      <w:noProof/>
      <w:sz w:val="16"/>
      <w:shd w:val="clear" w:color="auto" w:fill="E6E6E6"/>
      <w:lang w:eastAsia="sv-SE"/>
    </w:rPr>
  </w:style>
  <w:style w:type="paragraph" w:styleId="PlainText">
    <w:name w:val="Plain Text"/>
    <w:basedOn w:val="Normal"/>
    <w:link w:val="PlainTextChar"/>
    <w:rsid w:val="00EA1409"/>
    <w:rPr>
      <w:rFonts w:ascii="Courier New" w:hAnsi="Courier New"/>
      <w:lang w:val="nb-NO"/>
    </w:rPr>
  </w:style>
  <w:style w:type="character" w:customStyle="1" w:styleId="PlainTextChar">
    <w:name w:val="Plain Text Char"/>
    <w:link w:val="PlainText"/>
    <w:rsid w:val="00EA1409"/>
    <w:rPr>
      <w:rFonts w:ascii="Courier New" w:hAnsi="Courier New"/>
      <w:lang w:val="nb-NO" w:eastAsia="ja-JP"/>
    </w:rPr>
  </w:style>
  <w:style w:type="character" w:styleId="Strong">
    <w:name w:val="Strong"/>
    <w:uiPriority w:val="22"/>
    <w:qFormat/>
    <w:rsid w:val="00EA1409"/>
    <w:rPr>
      <w:b/>
      <w:bCs/>
    </w:rPr>
  </w:style>
  <w:style w:type="table" w:styleId="TableGrid">
    <w:name w:val="Table Grid"/>
    <w:basedOn w:val="TableNormal"/>
    <w:uiPriority w:val="99"/>
    <w:rsid w:val="00EA14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A1409"/>
    <w:rPr>
      <w:rFonts w:ascii="Arial" w:hAnsi="Arial"/>
      <w:sz w:val="18"/>
      <w:lang w:val="x-none" w:eastAsia="x-none"/>
    </w:rPr>
  </w:style>
  <w:style w:type="character" w:customStyle="1" w:styleId="TAHCar">
    <w:name w:val="TAH Car"/>
    <w:link w:val="TAH"/>
    <w:locked/>
    <w:rsid w:val="00EA1409"/>
    <w:rPr>
      <w:rFonts w:ascii="Arial" w:hAnsi="Arial"/>
      <w:b/>
      <w:sz w:val="18"/>
      <w:lang w:val="x-none" w:eastAsia="x-none"/>
    </w:rPr>
  </w:style>
  <w:style w:type="character" w:customStyle="1" w:styleId="THChar">
    <w:name w:val="TH Char"/>
    <w:link w:val="TH"/>
    <w:rsid w:val="00EA1409"/>
    <w:rPr>
      <w:rFonts w:ascii="Arial" w:hAnsi="Arial"/>
      <w:b/>
      <w:lang w:val="x-none" w:eastAsia="x-none"/>
    </w:rPr>
  </w:style>
  <w:style w:type="paragraph" w:customStyle="1" w:styleId="TAJ">
    <w:name w:val="TAJ"/>
    <w:basedOn w:val="TH"/>
    <w:rsid w:val="00EA1409"/>
  </w:style>
  <w:style w:type="paragraph" w:customStyle="1" w:styleId="TALCharChar">
    <w:name w:val="TAL Char Char"/>
    <w:basedOn w:val="Normal"/>
    <w:link w:val="TALCharCharChar"/>
    <w:rsid w:val="00EA140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A1409"/>
    <w:rPr>
      <w:rFonts w:ascii="Arial" w:eastAsia="Malgun Gothic" w:hAnsi="Arial"/>
      <w:sz w:val="18"/>
      <w:lang w:val="x-none" w:eastAsia="x-none"/>
    </w:rPr>
  </w:style>
  <w:style w:type="character" w:customStyle="1" w:styleId="TFChar">
    <w:name w:val="TF Char"/>
    <w:link w:val="TF"/>
    <w:rsid w:val="00EA1409"/>
    <w:rPr>
      <w:rFonts w:ascii="Arial" w:hAnsi="Arial"/>
      <w:b/>
      <w:lang w:val="x-none" w:eastAsia="x-none"/>
    </w:rPr>
  </w:style>
  <w:style w:type="paragraph" w:styleId="ListContinue">
    <w:name w:val="List Continue"/>
    <w:basedOn w:val="Normal"/>
    <w:rsid w:val="00EA1409"/>
    <w:pPr>
      <w:spacing w:after="120"/>
      <w:ind w:left="283"/>
      <w:contextualSpacing/>
    </w:pPr>
    <w:rPr>
      <w:rFonts w:ascii="Arial" w:hAnsi="Arial"/>
    </w:rPr>
  </w:style>
  <w:style w:type="paragraph" w:styleId="ListContinue2">
    <w:name w:val="List Continue 2"/>
    <w:basedOn w:val="Normal"/>
    <w:rsid w:val="00EA1409"/>
    <w:pPr>
      <w:spacing w:after="120"/>
      <w:ind w:left="566"/>
      <w:contextualSpacing/>
    </w:pPr>
    <w:rPr>
      <w:rFonts w:ascii="Arial" w:hAnsi="Arial"/>
    </w:rPr>
  </w:style>
  <w:style w:type="paragraph" w:styleId="ListNumber3">
    <w:name w:val="List Number 3"/>
    <w:basedOn w:val="ListNumber2"/>
    <w:rsid w:val="00EA1409"/>
    <w:pPr>
      <w:numPr>
        <w:numId w:val="10"/>
      </w:numPr>
      <w:contextualSpacing/>
    </w:p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99"/>
    <w:rsid w:val="00D41C77"/>
    <w:rPr>
      <w:rFonts w:ascii="Times New Roman" w:hAnsi="Times New Roman"/>
      <w:b/>
    </w:rPr>
  </w:style>
  <w:style w:type="character" w:customStyle="1" w:styleId="ReferenceChar">
    <w:name w:val="Reference Char"/>
    <w:link w:val="Reference"/>
    <w:rsid w:val="00D41C77"/>
    <w:rPr>
      <w:rFonts w:ascii="Arial" w:hAnsi="Arial"/>
      <w:lang w:eastAsia="zh-CN"/>
    </w:rPr>
  </w:style>
  <w:style w:type="character" w:styleId="PlaceholderText">
    <w:name w:val="Placeholder Text"/>
    <w:basedOn w:val="DefaultParagraphFont"/>
    <w:uiPriority w:val="99"/>
    <w:semiHidden/>
    <w:rsid w:val="00E5288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F5E4FB-5BB5-4651-B7BF-86EA799078D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1D07CB-49BC-4866-B41D-9BCDAC3E99F0}">
  <ds:schemaRefs>
    <ds:schemaRef ds:uri="http://schemas.microsoft.com/sharepoint/v3/contenttype/forms"/>
  </ds:schemaRefs>
</ds:datastoreItem>
</file>

<file path=customXml/itemProps3.xml><?xml version="1.0" encoding="utf-8"?>
<ds:datastoreItem xmlns:ds="http://schemas.openxmlformats.org/officeDocument/2006/customXml" ds:itemID="{EF45D8B4-93F4-43CC-BC11-ED246A8E4A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FFD5E0-D4B7-405F-806E-42C908026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1003</Words>
  <Characters>5718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2019-05-03T23:36:00Z</dcterms:created>
  <dcterms:modified xsi:type="dcterms:W3CDTF">2019-05-04T06:50:00Z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512">
    <vt:lpwstr>23</vt:lpwstr>
  </property>
  <property fmtid="{D5CDD505-2E9C-101B-9397-08002B2CF9AE}" pid="3" name="ContentTypeId">
    <vt:lpwstr>0x010100F3E9551B3FDDA24EBF0A209BAAD637CA</vt:lpwstr>
  </property>
  <property fmtid="{D5CDD505-2E9C-101B-9397-08002B2CF9AE}" pid="4" name="Date">
    <vt:filetime>2019-02-09T23:00:00Z</vt:filetime>
  </property>
  <property fmtid="{D5CDD505-2E9C-101B-9397-08002B2CF9AE}" pid="5" name="AuthorIds_UIVersion_12">
    <vt:lpwstr>213</vt:lpwstr>
  </property>
</Properties>
</file>